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C18FCA">
      <w:pPr>
        <w:keepNext/>
        <w:keepLines/>
        <w:spacing w:before="260" w:after="240" w:line="416" w:lineRule="auto"/>
        <w:outlineLvl w:val="1"/>
        <w:rPr>
          <w:rFonts w:hint="eastAsia" w:ascii="思源黑体 CN Normal" w:hAnsi="思源黑体 CN Normal" w:eastAsia="思源黑体 CN Normal" w:cs="Times New Roman"/>
          <w:b/>
          <w:bCs/>
          <w:color w:val="0075C2"/>
          <w:sz w:val="24"/>
          <w:szCs w:val="24"/>
        </w:rPr>
      </w:pPr>
      <w:r>
        <w:rPr>
          <w:rFonts w:hint="eastAsia" w:ascii="思源黑体 CN Normal" w:hAnsi="思源黑体 CN Normal" w:eastAsia="思源黑体 CN Normal" w:cs="Times New Roman"/>
          <w:spacing w:val="5"/>
          <w:sz w:val="16"/>
          <w:szCs w:val="16"/>
          <w:lang w:eastAsia="zh-CN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4566285</wp:posOffset>
            </wp:positionH>
            <wp:positionV relativeFrom="paragraph">
              <wp:posOffset>-71120</wp:posOffset>
            </wp:positionV>
            <wp:extent cx="1727200" cy="1727200"/>
            <wp:effectExtent l="0" t="0" r="6350" b="6350"/>
            <wp:wrapNone/>
            <wp:docPr id="3" name="图片 3" descr="6b7b9d2e7be228a2bd0ac8a3a0b4f4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6b7b9d2e7be228a2bd0ac8a3a0b4f4f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727200" cy="1727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思源黑体 CN Normal" w:hAnsi="思源黑体 CN Normal" w:eastAsia="思源黑体 CN Normal" w:cs="Times New Roman"/>
          <w:b/>
          <w:bCs/>
          <w:color w:val="0075C2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177800</wp:posOffset>
                </wp:positionV>
                <wp:extent cx="3662045" cy="357505"/>
                <wp:effectExtent l="0" t="0" r="15240" b="24130"/>
                <wp:wrapNone/>
                <wp:docPr id="1452739366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61853" cy="357254"/>
                        </a:xfrm>
                        <a:prstGeom prst="roundRect">
                          <a:avLst/>
                        </a:prstGeom>
                        <a:solidFill>
                          <a:schemeClr val="accent5">
                            <a:lumMod val="75000"/>
                          </a:schemeClr>
                        </a:solidFill>
                        <a:ln w="3175">
                          <a:solidFill>
                            <a:schemeClr val="accent5"/>
                          </a:solidFill>
                        </a:ln>
                      </wps:spPr>
                      <wps:txbx>
                        <w:txbxContent>
                          <w:p w14:paraId="0BDFAB36">
                            <w:pPr>
                              <w:spacing w:line="0" w:lineRule="atLeast"/>
                              <w:rPr>
                                <w:rFonts w:hint="eastAsia"/>
                                <w:color w:val="FFFFFF" w:themeColor="background1"/>
                                <w:szCs w:val="2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思源黑体 CN Normal" w:hAnsi="思源黑体 CN Normal" w:eastAsia="思源黑体 CN Normal" w:cs="Times New Roman"/>
                                <w:b/>
                                <w:bCs/>
                                <w:color w:val="FFFFFF" w:themeColor="background1"/>
                                <w:szCs w:val="2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 xml:space="preserve">5G-4G Triple Band-adjustable </w:t>
                            </w:r>
                            <w:r>
                              <w:rPr>
                                <w:rFonts w:ascii="思源黑体 CN Normal" w:hAnsi="思源黑体 CN Normal" w:eastAsia="思源黑体 CN Normal" w:cs="Times New Roman"/>
                                <w:b/>
                                <w:bCs/>
                                <w:color w:val="FFFFFF" w:themeColor="background1"/>
                                <w:szCs w:val="2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Digital Pico Repeater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文本框 3" o:spid="_x0000_s1026" o:spt="2" style="position:absolute;left:0pt;margin-top:14pt;height:28.15pt;width:288.35pt;mso-position-horizontal:left;mso-position-horizontal-relative:margin;z-index:251659264;mso-width-relative:page;mso-height-relative:page;" fillcolor="#2E75B6 [2408]" filled="t" stroked="t" coordsize="21600,21600" arcsize="0.166666666666667" o:gfxdata="UEsDBAoAAAAAAIdO4kAAAAAAAAAAAAAAAAAEAAAAZHJzL1BLAwQUAAAACACHTuJAzrZFZNcAAAAG&#10;AQAADwAAAGRycy9kb3ducmV2LnhtbE2PzU7DMBCE70i8g7VI3KiTAm0asukBRE5IiDYHjm68+QF7&#10;HWK3KW+POcFpNZrRzLfF9myNONHkB8cI6SIBQdw4PXCHUO+fbzIQPijWyjgmhG/ysC0vLwqVazfz&#10;G512oROxhH2uEPoQxlxK3/RklV+4kTh6rZusClFOndSTmmO5NXKZJCtp1cBxoVcjPfbUfO6OFmHO&#10;9Hv9VH1s2vpl076GfZWarwrx+ipNHkAEOoe/MPziR3QoI9PBHVl7YRDiIwFhmcUb3fv1ag3igJDd&#10;3YIsC/kfv/wBUEsDBBQAAAAIAIdO4kALsU86ewIAAOgEAAAOAAAAZHJzL2Uyb0RvYy54bWytVM1u&#10;2zAMvg/YOwi6r86fkzaoUyTNOgzo1mLdsLMiy7EBSdQkOXb3ANsb7LTL7nuuPsco2WnTbocedrEp&#10;kfxIfiR1etYqSXbCugp0RodHA0qE5pBXepvRTx8vXh1T4jzTOZOgRUZvhaNni5cvThszFyMoQebC&#10;EgTRbt6YjJbem3mSOF4KxdwRGKFRWYBVzOPRbpPcsgbRlUxGg8E0acDmxgIXzuHtulPSHtE+BxCK&#10;ouJiDbxWQvsO1QrJPJbkyso4uojZFoXg/qoonPBEZhQr9fGLQVDehG+yOGXzrWWmrHifAntOCk9q&#10;UqzSGPQeas08I7Wt/oJSFbfgoPBHHFTSFRIZwSqGgyfc3JTMiFgLUu3MPenu/8Hy97trS6ocJ2GS&#10;jmbjk/F0SolmCjt/9+P73c/fd7++kXHgqTFujuY3Bh18u4IWffb3Di9D+W1hVfhjYQT1yPLtPcui&#10;9YTjJUYYHqdjSjjqxulslE4CTPLgbazzbwQoEoSMWqh1/gFbGRlmu0vnO/u9XYjoQFb5RSVlPNjt&#10;5lxasmPY9tHrWbqaRl9Zq3eQd9ezdDCI/cfArrOPSTwCkpo0mORwlkb/R7reqUNLVyerddrXcWCG&#10;4FIjbiCvIylIvt20PaMbyG+RUAvdaDrDLyqs+pI5f80sziJyiNvqr/BTSMBsoJcoKcF+/dd9sMcR&#10;QS0lDc52Rt2XmllBiXyrcXhOhpNJWIZ4mGAH8GAPNZtDja7VOSCPQ3wXDI9isPdyLxYW1Gdc6mWI&#10;iiqmOcbOqN+L577bOHwUuFguoxGOv2H+Ut8YHqBD1zQsaw9FFbsbaOq46dnDBYj96Zc1bNjhOVo9&#10;PFCLP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OsEAABbQ29udGVudF9UeXBlc10ueG1sUEsBAhQACgAAAAAAh07iQAAAAAAAAAAAAAAAAAYAAAAA&#10;AAAAAAAQAAAAzQMAAF9yZWxzL1BLAQIUABQAAAAIAIdO4kCKFGY80QAAAJQBAAALAAAAAAAAAAEA&#10;IAAAAPEDAABfcmVscy8ucmVsc1BLAQIUAAoAAAAAAIdO4kAAAAAAAAAAAAAAAAAEAAAAAAAAAAAA&#10;EAAAAAAAAABkcnMvUEsBAhQAFAAAAAgAh07iQM62RWTXAAAABgEAAA8AAAAAAAAAAQAgAAAAIgAA&#10;AGRycy9kb3ducmV2LnhtbFBLAQIUABQAAAAIAIdO4kALsU86ewIAAOgEAAAOAAAAAAAAAAEAIAAA&#10;ACYBAABkcnMvZTJvRG9jLnhtbFBLBQYAAAAABgAGAFkBAAATBgAAAAA=&#10;">
                <v:fill on="t" focussize="0,0"/>
                <v:stroke weight="0.25pt" color="#5B9BD5 [3208]" joinstyle="round"/>
                <v:imagedata o:title=""/>
                <o:lock v:ext="edit" aspectratio="f"/>
                <v:textbox>
                  <w:txbxContent>
                    <w:p w14:paraId="0BDFAB36">
                      <w:pPr>
                        <w:spacing w:line="0" w:lineRule="atLeast"/>
                        <w:rPr>
                          <w:rFonts w:hint="eastAsia"/>
                          <w:color w:val="FFFFFF" w:themeColor="background1"/>
                          <w:szCs w:val="2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思源黑体 CN Normal" w:hAnsi="思源黑体 CN Normal" w:eastAsia="思源黑体 CN Normal" w:cs="Times New Roman"/>
                          <w:b/>
                          <w:bCs/>
                          <w:color w:val="FFFFFF" w:themeColor="background1"/>
                          <w:szCs w:val="2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 xml:space="preserve">5G-4G Triple Band-adjustable </w:t>
                      </w:r>
                      <w:r>
                        <w:rPr>
                          <w:rFonts w:ascii="思源黑体 CN Normal" w:hAnsi="思源黑体 CN Normal" w:eastAsia="思源黑体 CN Normal" w:cs="Times New Roman"/>
                          <w:b/>
                          <w:bCs/>
                          <w:color w:val="FFFFFF" w:themeColor="background1"/>
                          <w:szCs w:val="2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Digital Pico Repeater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="思源黑体 CN Normal" w:hAnsi="思源黑体 CN Normal" w:eastAsia="思源黑体 CN Normal" w:cs="Times New Roman"/>
          <w:b/>
          <w:bCs/>
          <w:color w:val="0075C2"/>
          <w:sz w:val="24"/>
          <w:szCs w:val="24"/>
        </w:rPr>
        <w:t xml:space="preserve"> </w:t>
      </w:r>
    </w:p>
    <w:p w14:paraId="26B5F78D">
      <w:pPr>
        <w:rPr>
          <w:rFonts w:hint="default" w:ascii="思源黑体 CN Normal" w:hAnsi="思源黑体 CN Normal" w:eastAsia="思源黑体 CN Normal" w:cs="Times New Roman"/>
          <w:spacing w:val="5"/>
          <w:sz w:val="16"/>
          <w:szCs w:val="16"/>
          <w:lang w:val="en-US" w:eastAsia="zh-CN"/>
        </w:rPr>
      </w:pPr>
      <w:r>
        <w:rPr>
          <w:rFonts w:hint="eastAsia" w:ascii="思源黑体 CN Normal" w:hAnsi="思源黑体 CN Normal" w:eastAsia="思源黑体 CN Normal" w:cs="Times New Roman"/>
          <w:spacing w:val="5"/>
          <w:sz w:val="16"/>
          <w:szCs w:val="16"/>
        </w:rPr>
        <w:t>M</w:t>
      </w:r>
      <w:r>
        <w:rPr>
          <w:rFonts w:ascii="思源黑体 CN Normal" w:hAnsi="思源黑体 CN Normal" w:eastAsia="思源黑体 CN Normal" w:cs="Times New Roman"/>
          <w:spacing w:val="5"/>
          <w:sz w:val="16"/>
          <w:szCs w:val="16"/>
        </w:rPr>
        <w:t xml:space="preserve">odel: </w:t>
      </w:r>
      <w:r>
        <w:rPr>
          <w:rFonts w:hint="eastAsia" w:ascii="思源黑体 CN Normal" w:hAnsi="思源黑体 CN Normal" w:eastAsia="思源黑体 CN Normal" w:cs="Times New Roman"/>
          <w:spacing w:val="5"/>
          <w:sz w:val="16"/>
          <w:szCs w:val="16"/>
        </w:rPr>
        <w:t>DS-DWN3500-</w:t>
      </w:r>
      <w:r>
        <w:rPr>
          <w:rFonts w:hint="eastAsia" w:ascii="思源黑体 CN Normal" w:hAnsi="思源黑体 CN Normal" w:eastAsia="思源黑体 CN Normal" w:cs="Times New Roman"/>
          <w:spacing w:val="5"/>
          <w:sz w:val="16"/>
          <w:szCs w:val="16"/>
          <w:lang w:val="en-US" w:eastAsia="zh-CN"/>
        </w:rPr>
        <w:t>20</w:t>
      </w:r>
    </w:p>
    <w:p w14:paraId="2DE6946C">
      <w:pPr>
        <w:keepNext/>
        <w:keepLines/>
        <w:spacing w:before="260" w:line="416" w:lineRule="auto"/>
        <w:outlineLvl w:val="1"/>
        <w:rPr>
          <w:rFonts w:hint="eastAsia" w:ascii="思源黑体 CN Normal" w:hAnsi="思源黑体 CN Normal" w:eastAsia="思源黑体 CN Normal" w:cs="Times New Roman"/>
          <w:b/>
          <w:bCs/>
          <w:color w:val="0075C2"/>
          <w:szCs w:val="21"/>
        </w:rPr>
      </w:pPr>
      <w:r>
        <w:rPr>
          <w:rFonts w:hint="eastAsia" w:ascii="思源黑体 CN Normal" w:hAnsi="思源黑体 CN Normal" w:eastAsia="思源黑体 CN Normal" w:cs="Times New Roman"/>
          <w:b/>
          <w:bCs/>
          <w:color w:val="0075C2"/>
          <w:szCs w:val="21"/>
        </w:rPr>
        <w:t>P</w:t>
      </w:r>
      <w:r>
        <w:rPr>
          <w:rFonts w:ascii="思源黑体 CN Normal" w:hAnsi="思源黑体 CN Normal" w:eastAsia="思源黑体 CN Normal" w:cs="Times New Roman"/>
          <w:b/>
          <w:bCs/>
          <w:color w:val="0075C2"/>
          <w:szCs w:val="21"/>
        </w:rPr>
        <w:t>roduct F</w:t>
      </w:r>
      <w:r>
        <w:rPr>
          <w:rFonts w:hint="eastAsia" w:ascii="思源黑体 CN Normal" w:hAnsi="思源黑体 CN Normal" w:eastAsia="思源黑体 CN Normal" w:cs="Times New Roman"/>
          <w:b/>
          <w:bCs/>
          <w:color w:val="0075C2"/>
          <w:szCs w:val="21"/>
        </w:rPr>
        <w:t>eatur</w:t>
      </w:r>
      <w:r>
        <w:rPr>
          <w:rFonts w:ascii="思源黑体 CN Normal" w:hAnsi="思源黑体 CN Normal" w:eastAsia="思源黑体 CN Normal" w:cs="Times New Roman"/>
          <w:b/>
          <w:bCs/>
          <w:color w:val="0075C2"/>
          <w:szCs w:val="21"/>
        </w:rPr>
        <w:t>es</w:t>
      </w:r>
    </w:p>
    <w:p w14:paraId="1729D4E1">
      <w:pPr>
        <w:numPr>
          <w:ilvl w:val="0"/>
          <w:numId w:val="1"/>
        </w:numPr>
        <w:jc w:val="left"/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</w:pPr>
      <w:r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  <w:t>NSA/SA Support: Compatible with both Non-Standalone and Standalone 5G networks.</w:t>
      </w:r>
      <w:r>
        <w:t xml:space="preserve"> </w:t>
      </w:r>
    </w:p>
    <w:p w14:paraId="3AD87968">
      <w:pPr>
        <w:numPr>
          <w:ilvl w:val="0"/>
          <w:numId w:val="1"/>
        </w:numPr>
        <w:jc w:val="left"/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</w:pPr>
      <w:r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  <w:t>Accurate Synchronization: Built-in 5G base band synchronous detection module (SDM) ensures precise timing with the donor base station.</w:t>
      </w:r>
    </w:p>
    <w:p w14:paraId="5CCE9EB4">
      <w:pPr>
        <w:numPr>
          <w:ilvl w:val="0"/>
          <w:numId w:val="1"/>
        </w:numPr>
        <w:jc w:val="left"/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</w:pPr>
      <w:r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  <w:t>Multi-band support offers flexibility to meet various network demands.</w:t>
      </w:r>
    </w:p>
    <w:p w14:paraId="7DAB430B">
      <w:pPr>
        <w:numPr>
          <w:ilvl w:val="0"/>
          <w:numId w:val="1"/>
        </w:numPr>
        <w:jc w:val="left"/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</w:pPr>
      <w:r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  <w:t>Fine-grained control is achieved through individual sub-band activation/deactivation.</w:t>
      </w:r>
    </w:p>
    <w:p w14:paraId="2E37ED2A">
      <w:pPr>
        <w:numPr>
          <w:ilvl w:val="0"/>
          <w:numId w:val="1"/>
        </w:numPr>
        <w:jc w:val="left"/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</w:pPr>
      <w:r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  <w:t>Intelligent algorithms effectively mitigate uplink interference.</w:t>
      </w:r>
    </w:p>
    <w:p w14:paraId="32923AF3">
      <w:pPr>
        <w:numPr>
          <w:ilvl w:val="0"/>
          <w:numId w:val="1"/>
        </w:numPr>
        <w:jc w:val="left"/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</w:pPr>
      <w:r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  <w:t>Independent gain control further optimizes performance.</w:t>
      </w:r>
    </w:p>
    <w:p w14:paraId="2EEC5C30">
      <w:pPr>
        <w:numPr>
          <w:ilvl w:val="0"/>
          <w:numId w:val="1"/>
        </w:numPr>
        <w:jc w:val="left"/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</w:pPr>
      <w:r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  <w:t>Self-control mechanisms minimize interference during new base station deployments.</w:t>
      </w:r>
    </w:p>
    <w:p w14:paraId="3C996418">
      <w:pPr>
        <w:numPr>
          <w:ilvl w:val="0"/>
          <w:numId w:val="1"/>
        </w:numPr>
        <w:jc w:val="left"/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</w:pPr>
      <w:r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  <w:t>NMS facilitates remote/local control and monitoring.</w:t>
      </w:r>
    </w:p>
    <w:p w14:paraId="64AA02A8">
      <w:pPr>
        <w:keepNext/>
        <w:keepLines/>
        <w:spacing w:before="260" w:line="416" w:lineRule="auto"/>
        <w:outlineLvl w:val="1"/>
        <w:rPr>
          <w:rFonts w:hint="eastAsia" w:ascii="思源黑体 CN Normal" w:hAnsi="思源黑体 CN Normal" w:eastAsia="思源黑体 CN Normal" w:cs="Times New Roman"/>
          <w:b/>
          <w:bCs/>
          <w:color w:val="0075C2"/>
          <w:szCs w:val="21"/>
        </w:rPr>
      </w:pPr>
      <w:r>
        <w:rPr>
          <w:rFonts w:ascii="思源黑体 CN Normal" w:hAnsi="思源黑体 CN Normal" w:eastAsia="思源黑体 CN Normal" w:cs="Times New Roman"/>
          <w:b/>
          <w:bCs/>
          <w:color w:val="0075C2"/>
          <w:szCs w:val="21"/>
        </w:rPr>
        <w:t>Application Scenario</w:t>
      </w:r>
    </w:p>
    <w:p w14:paraId="71E27CE0">
      <w:pPr>
        <w:jc w:val="center"/>
        <w:rPr>
          <w:rFonts w:ascii="Tw Cen MT" w:hAnsi="Tw Cen MT" w:eastAsia="宋体" w:cs="Times New Roman"/>
          <w:color w:val="0075C2"/>
        </w:rPr>
      </w:pPr>
      <w:r>
        <w:drawing>
          <wp:inline distT="0" distB="0" distL="0" distR="0">
            <wp:extent cx="3599815" cy="1576705"/>
            <wp:effectExtent l="0" t="0" r="635" b="444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157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423026">
      <w:pPr>
        <w:keepNext/>
        <w:keepLines/>
        <w:spacing w:before="260" w:line="416" w:lineRule="auto"/>
        <w:outlineLvl w:val="1"/>
        <w:rPr>
          <w:rFonts w:hint="eastAsia" w:ascii="思源黑体 CN Normal" w:hAnsi="思源黑体 CN Normal" w:eastAsia="思源黑体 CN Normal" w:cs="Times New Roman"/>
          <w:b/>
          <w:bCs/>
          <w:color w:val="0075C2"/>
          <w:szCs w:val="21"/>
        </w:rPr>
      </w:pPr>
      <w:r>
        <w:rPr>
          <w:rFonts w:ascii="思源黑体 CN Normal" w:hAnsi="思源黑体 CN Normal" w:eastAsia="思源黑体 CN Normal" w:cs="Times New Roman"/>
          <w:b/>
          <w:bCs/>
          <w:color w:val="0075C2"/>
          <w:szCs w:val="21"/>
        </w:rPr>
        <w:t>Block Diagram</w:t>
      </w:r>
    </w:p>
    <w:p w14:paraId="6C3DF38D">
      <w:pPr>
        <w:jc w:val="center"/>
        <w:rPr>
          <w:rFonts w:ascii="Tw Cen MT" w:hAnsi="Tw Cen MT" w:eastAsia="宋体" w:cs="Times New Roman"/>
          <w:color w:val="0075C2"/>
        </w:rPr>
      </w:pPr>
      <w:r>
        <w:rPr>
          <w:rFonts w:hint="eastAsia"/>
          <w:color w:val="0075C2"/>
        </w:rPr>
        <w:drawing>
          <wp:inline distT="0" distB="0" distL="0" distR="0">
            <wp:extent cx="3239770" cy="2400935"/>
            <wp:effectExtent l="0" t="0" r="0" b="0"/>
            <wp:docPr id="4778122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781225" name="图片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40000" cy="2401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FB54895">
      <w:pPr>
        <w:keepNext/>
        <w:keepLines/>
        <w:spacing w:before="260" w:line="416" w:lineRule="auto"/>
        <w:outlineLvl w:val="1"/>
        <w:rPr>
          <w:rFonts w:hint="eastAsia" w:ascii="思源黑体 CN Normal" w:hAnsi="思源黑体 CN Normal" w:eastAsia="思源黑体 CN Normal" w:cs="Times New Roman"/>
          <w:b/>
          <w:bCs/>
          <w:color w:val="0075C2"/>
          <w:szCs w:val="21"/>
        </w:rPr>
      </w:pPr>
      <w:r>
        <w:rPr>
          <w:rFonts w:hint="eastAsia" w:ascii="思源黑体 CN Normal" w:hAnsi="思源黑体 CN Normal" w:eastAsia="思源黑体 CN Normal" w:cs="Times New Roman"/>
          <w:b/>
          <w:bCs/>
          <w:color w:val="0075C2"/>
          <w:szCs w:val="21"/>
        </w:rPr>
        <w:t>T</w:t>
      </w:r>
      <w:r>
        <w:rPr>
          <w:rFonts w:ascii="思源黑体 CN Normal" w:hAnsi="思源黑体 CN Normal" w:eastAsia="思源黑体 CN Normal" w:cs="Times New Roman"/>
          <w:b/>
          <w:bCs/>
          <w:color w:val="0075C2"/>
          <w:szCs w:val="21"/>
        </w:rPr>
        <w:t>echnical Specifications</w:t>
      </w:r>
    </w:p>
    <w:tbl>
      <w:tblPr>
        <w:tblStyle w:val="11"/>
        <w:tblW w:w="5000" w:type="pct"/>
        <w:tblInd w:w="0" w:type="dxa"/>
        <w:tblBorders>
          <w:top w:val="single" w:color="74B5E4" w:sz="4" w:space="0"/>
          <w:left w:val="single" w:color="74B5E4" w:sz="4" w:space="0"/>
          <w:bottom w:val="single" w:color="74B5E4" w:sz="4" w:space="0"/>
          <w:right w:val="single" w:color="74B5E4" w:sz="4" w:space="0"/>
          <w:insideH w:val="single" w:color="74B5E4" w:sz="4" w:space="0"/>
          <w:insideV w:val="single" w:color="74B5E4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7"/>
        <w:gridCol w:w="2323"/>
        <w:gridCol w:w="1931"/>
        <w:gridCol w:w="1931"/>
        <w:gridCol w:w="1931"/>
      </w:tblGrid>
      <w:tr w14:paraId="66EC0329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2060" w:type="pct"/>
            <w:gridSpan w:val="2"/>
            <w:tcBorders>
              <w:top w:val="single" w:color="2683C6" w:sz="4" w:space="0"/>
              <w:left w:val="single" w:color="2683C6" w:sz="4" w:space="0"/>
              <w:bottom w:val="single" w:color="2683C6" w:sz="4" w:space="0"/>
              <w:right w:val="nil"/>
              <w:insideH w:val="single" w:sz="4" w:space="0"/>
              <w:insideV w:val="nil"/>
            </w:tcBorders>
            <w:shd w:val="clear" w:color="auto" w:fill="2683C6"/>
            <w:noWrap/>
          </w:tcPr>
          <w:p w14:paraId="3F70ACF5">
            <w:pPr>
              <w:jc w:val="left"/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FFFFFF"/>
                <w:sz w:val="16"/>
                <w:szCs w:val="16"/>
                <w:lang w:val="en-US" w:eastAsia="zh-CN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FFFFFF"/>
                <w:sz w:val="16"/>
                <w:szCs w:val="16"/>
              </w:rPr>
              <w:t>P/N:</w:t>
            </w:r>
            <w:r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FFFFFF"/>
                <w:sz w:val="16"/>
                <w:szCs w:val="16"/>
              </w:rPr>
              <w:t>DS-DWN3500-</w:t>
            </w:r>
            <w:r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FFFFFF"/>
                <w:sz w:val="16"/>
                <w:szCs w:val="16"/>
                <w:lang w:val="en-US" w:eastAsia="zh-CN"/>
              </w:rPr>
              <w:t>20</w:t>
            </w:r>
          </w:p>
        </w:tc>
        <w:tc>
          <w:tcPr>
            <w:tcW w:w="980" w:type="pct"/>
            <w:tcBorders>
              <w:top w:val="single" w:color="2683C6" w:sz="4" w:space="0"/>
              <w:bottom w:val="single" w:color="2683C6" w:sz="4" w:space="0"/>
              <w:right w:val="nil"/>
              <w:insideH w:val="single" w:sz="4" w:space="0"/>
              <w:insideV w:val="nil"/>
            </w:tcBorders>
            <w:shd w:val="clear" w:color="auto" w:fill="2683C6"/>
            <w:noWrap/>
          </w:tcPr>
          <w:p w14:paraId="052ACDB8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FFFFFF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FFFFFF"/>
                <w:sz w:val="16"/>
                <w:szCs w:val="16"/>
              </w:rPr>
              <w:t>B</w:t>
            </w: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FFFFFF"/>
                <w:sz w:val="16"/>
                <w:szCs w:val="16"/>
              </w:rPr>
              <w:t>3 (1800)</w:t>
            </w:r>
          </w:p>
        </w:tc>
        <w:tc>
          <w:tcPr>
            <w:tcW w:w="980" w:type="pct"/>
            <w:tcBorders>
              <w:top w:val="single" w:color="2683C6" w:sz="4" w:space="0"/>
              <w:bottom w:val="single" w:color="2683C6" w:sz="4" w:space="0"/>
              <w:right w:val="nil"/>
              <w:insideH w:val="single" w:sz="4" w:space="0"/>
              <w:insideV w:val="nil"/>
            </w:tcBorders>
            <w:shd w:val="clear" w:color="auto" w:fill="2683C6"/>
          </w:tcPr>
          <w:p w14:paraId="60A81755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FFFFFF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FFFFFF"/>
                <w:sz w:val="16"/>
                <w:szCs w:val="16"/>
              </w:rPr>
              <w:t>B</w:t>
            </w: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FFFFFF"/>
                <w:sz w:val="16"/>
                <w:szCs w:val="16"/>
              </w:rPr>
              <w:t>1 (2100)</w:t>
            </w:r>
          </w:p>
        </w:tc>
        <w:tc>
          <w:tcPr>
            <w:tcW w:w="980" w:type="pct"/>
            <w:tcBorders>
              <w:top w:val="single" w:color="2683C6" w:sz="4" w:space="0"/>
              <w:bottom w:val="single" w:color="2683C6" w:sz="4" w:space="0"/>
              <w:right w:val="single" w:color="2683C6" w:sz="4" w:space="0"/>
              <w:insideH w:val="single" w:sz="4" w:space="0"/>
              <w:insideV w:val="nil"/>
            </w:tcBorders>
            <w:shd w:val="clear" w:color="auto" w:fill="2683C6"/>
            <w:noWrap/>
          </w:tcPr>
          <w:p w14:paraId="2B93FA09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FFFFFF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FFFFFF"/>
                <w:sz w:val="16"/>
                <w:szCs w:val="16"/>
              </w:rPr>
              <w:t>N78 (3500)</w:t>
            </w:r>
          </w:p>
        </w:tc>
      </w:tr>
      <w:tr w14:paraId="3442746F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81" w:type="pct"/>
            <w:vMerge w:val="restart"/>
            <w:shd w:val="clear" w:color="auto" w:fill="D0E6F6"/>
          </w:tcPr>
          <w:p w14:paraId="07421836">
            <w:pPr>
              <w:jc w:val="left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F</w:t>
            </w: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 xml:space="preserve">requency Range </w:t>
            </w:r>
          </w:p>
        </w:tc>
        <w:tc>
          <w:tcPr>
            <w:tcW w:w="1179" w:type="pct"/>
            <w:shd w:val="clear" w:color="auto" w:fill="D0E6F6"/>
          </w:tcPr>
          <w:p w14:paraId="0DA77AB4">
            <w:pP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U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plink</w:t>
            </w: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 xml:space="preserve"> 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(adjustable)</w:t>
            </w:r>
          </w:p>
        </w:tc>
        <w:tc>
          <w:tcPr>
            <w:tcW w:w="980" w:type="pct"/>
            <w:shd w:val="clear" w:color="auto" w:fill="D0E6F6"/>
            <w:noWrap/>
          </w:tcPr>
          <w:p w14:paraId="5D848B25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1735.1 – 1754.5 MHz</w:t>
            </w:r>
          </w:p>
        </w:tc>
        <w:tc>
          <w:tcPr>
            <w:tcW w:w="980" w:type="pct"/>
            <w:shd w:val="clear" w:color="auto" w:fill="D0E6F6"/>
          </w:tcPr>
          <w:p w14:paraId="6D1B0FDF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1920-19</w:t>
            </w: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4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 xml:space="preserve">0 MHz </w:t>
            </w:r>
          </w:p>
        </w:tc>
        <w:tc>
          <w:tcPr>
            <w:tcW w:w="980" w:type="pct"/>
            <w:shd w:val="clear" w:color="auto" w:fill="D0E6F6"/>
          </w:tcPr>
          <w:p w14:paraId="423CDEF7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3600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-</w:t>
            </w: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3700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 xml:space="preserve"> MHz </w:t>
            </w:r>
          </w:p>
        </w:tc>
      </w:tr>
      <w:tr w14:paraId="646379D4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81" w:type="pct"/>
            <w:vMerge w:val="continue"/>
          </w:tcPr>
          <w:p w14:paraId="7479A3D5">
            <w:pPr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</w:p>
        </w:tc>
        <w:tc>
          <w:tcPr>
            <w:tcW w:w="1179" w:type="pct"/>
          </w:tcPr>
          <w:p w14:paraId="798F1697">
            <w:pP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Downlink (adjustable)</w:t>
            </w:r>
          </w:p>
        </w:tc>
        <w:tc>
          <w:tcPr>
            <w:tcW w:w="980" w:type="pct"/>
            <w:noWrap/>
          </w:tcPr>
          <w:p w14:paraId="453C35AE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 xml:space="preserve">1830.1 – 1849.5 MHz </w:t>
            </w:r>
          </w:p>
        </w:tc>
        <w:tc>
          <w:tcPr>
            <w:tcW w:w="980" w:type="pct"/>
          </w:tcPr>
          <w:p w14:paraId="01629492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2110-21</w:t>
            </w: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3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 xml:space="preserve">0 MHz </w:t>
            </w:r>
          </w:p>
        </w:tc>
        <w:tc>
          <w:tcPr>
            <w:tcW w:w="980" w:type="pct"/>
          </w:tcPr>
          <w:p w14:paraId="3DEA664D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3600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-</w:t>
            </w: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3700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 xml:space="preserve"> MHz </w:t>
            </w:r>
          </w:p>
        </w:tc>
      </w:tr>
      <w:tr w14:paraId="7824DD03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060" w:type="pct"/>
            <w:gridSpan w:val="2"/>
            <w:shd w:val="clear" w:color="auto" w:fill="D0E6F6"/>
          </w:tcPr>
          <w:p w14:paraId="5745A7DC">
            <w:pPr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Bandwidth (adjustable)</w:t>
            </w:r>
          </w:p>
        </w:tc>
        <w:tc>
          <w:tcPr>
            <w:tcW w:w="980" w:type="pct"/>
            <w:shd w:val="clear" w:color="auto" w:fill="D0E6F6"/>
            <w:noWrap/>
            <w:vAlign w:val="center"/>
          </w:tcPr>
          <w:p w14:paraId="3E258E34">
            <w:pPr>
              <w:tabs>
                <w:tab w:val="center" w:pos="1433"/>
                <w:tab w:val="right" w:pos="2867"/>
              </w:tabs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19.4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 xml:space="preserve"> MHz</w:t>
            </w:r>
          </w:p>
        </w:tc>
        <w:tc>
          <w:tcPr>
            <w:tcW w:w="980" w:type="pct"/>
            <w:shd w:val="clear" w:color="auto" w:fill="D0E6F6"/>
            <w:vAlign w:val="center"/>
          </w:tcPr>
          <w:p w14:paraId="264587B4">
            <w:pPr>
              <w:tabs>
                <w:tab w:val="center" w:pos="1433"/>
                <w:tab w:val="right" w:pos="2867"/>
              </w:tabs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20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 xml:space="preserve"> MHz</w:t>
            </w:r>
          </w:p>
        </w:tc>
        <w:tc>
          <w:tcPr>
            <w:tcW w:w="980" w:type="pct"/>
            <w:shd w:val="clear" w:color="auto" w:fill="D0E6F6"/>
            <w:noWrap/>
            <w:vAlign w:val="center"/>
          </w:tcPr>
          <w:p w14:paraId="5473C3A1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100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 xml:space="preserve"> MHz</w:t>
            </w:r>
          </w:p>
        </w:tc>
      </w:tr>
      <w:tr w14:paraId="51B974D7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060" w:type="pct"/>
            <w:gridSpan w:val="2"/>
          </w:tcPr>
          <w:p w14:paraId="649CC519">
            <w:pPr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Number of Sub-bands</w:t>
            </w:r>
          </w:p>
        </w:tc>
        <w:tc>
          <w:tcPr>
            <w:tcW w:w="980" w:type="pct"/>
            <w:noWrap/>
          </w:tcPr>
          <w:p w14:paraId="6D423E86">
            <w:pPr>
              <w:tabs>
                <w:tab w:val="center" w:pos="1433"/>
                <w:tab w:val="right" w:pos="2867"/>
              </w:tabs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1</w:t>
            </w:r>
          </w:p>
        </w:tc>
        <w:tc>
          <w:tcPr>
            <w:tcW w:w="980" w:type="pct"/>
          </w:tcPr>
          <w:p w14:paraId="216590D8">
            <w:pPr>
              <w:tabs>
                <w:tab w:val="center" w:pos="1433"/>
                <w:tab w:val="right" w:pos="2867"/>
              </w:tabs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1</w:t>
            </w:r>
          </w:p>
        </w:tc>
        <w:tc>
          <w:tcPr>
            <w:tcW w:w="980" w:type="pct"/>
            <w:noWrap/>
          </w:tcPr>
          <w:p w14:paraId="5072732D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1</w:t>
            </w:r>
          </w:p>
        </w:tc>
      </w:tr>
      <w:tr w14:paraId="21AC119F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2060" w:type="pct"/>
            <w:gridSpan w:val="2"/>
            <w:shd w:val="clear" w:color="auto" w:fill="D0E6F6"/>
          </w:tcPr>
          <w:p w14:paraId="393FC103">
            <w:pPr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Sub -Band Adjustment Range</w:t>
            </w:r>
          </w:p>
        </w:tc>
        <w:tc>
          <w:tcPr>
            <w:tcW w:w="980" w:type="pct"/>
            <w:shd w:val="clear" w:color="auto" w:fill="D0E6F6"/>
          </w:tcPr>
          <w:p w14:paraId="6B9320CE">
            <w:pPr>
              <w:tabs>
                <w:tab w:val="center" w:pos="1433"/>
                <w:tab w:val="right" w:pos="2867"/>
              </w:tabs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 xml:space="preserve">0.2-19.4 MHz </w:t>
            </w:r>
          </w:p>
        </w:tc>
        <w:tc>
          <w:tcPr>
            <w:tcW w:w="980" w:type="pct"/>
            <w:shd w:val="clear" w:color="auto" w:fill="D0E6F6"/>
          </w:tcPr>
          <w:p w14:paraId="5DDC72EB">
            <w:pPr>
              <w:tabs>
                <w:tab w:val="center" w:pos="1433"/>
                <w:tab w:val="right" w:pos="2867"/>
              </w:tabs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 xml:space="preserve">0.2-20 MHz </w:t>
            </w:r>
          </w:p>
        </w:tc>
        <w:tc>
          <w:tcPr>
            <w:tcW w:w="980" w:type="pct"/>
            <w:shd w:val="clear" w:color="auto" w:fill="D0E6F6"/>
          </w:tcPr>
          <w:p w14:paraId="6D31919C">
            <w:pPr>
              <w:tabs>
                <w:tab w:val="center" w:pos="1433"/>
                <w:tab w:val="right" w:pos="2867"/>
              </w:tabs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 xml:space="preserve">5-100 MHz </w:t>
            </w:r>
          </w:p>
        </w:tc>
      </w:tr>
      <w:tr w14:paraId="5CAF3638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881" w:type="pct"/>
            <w:vMerge w:val="restart"/>
            <w:noWrap/>
          </w:tcPr>
          <w:p w14:paraId="612CD5A7">
            <w:pPr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Max. Gain</w:t>
            </w:r>
          </w:p>
        </w:tc>
        <w:tc>
          <w:tcPr>
            <w:tcW w:w="1179" w:type="pct"/>
          </w:tcPr>
          <w:p w14:paraId="100D6028">
            <w:pP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Uplink</w:t>
            </w:r>
          </w:p>
        </w:tc>
        <w:tc>
          <w:tcPr>
            <w:tcW w:w="980" w:type="pct"/>
            <w:noWrap/>
          </w:tcPr>
          <w:p w14:paraId="61E73F04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70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±</w:t>
            </w: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3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 xml:space="preserve"> dB</w:t>
            </w:r>
          </w:p>
        </w:tc>
        <w:tc>
          <w:tcPr>
            <w:tcW w:w="980" w:type="pct"/>
          </w:tcPr>
          <w:p w14:paraId="6C2E9500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70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±</w:t>
            </w: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3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 xml:space="preserve"> dB</w:t>
            </w:r>
          </w:p>
        </w:tc>
        <w:tc>
          <w:tcPr>
            <w:tcW w:w="980" w:type="pct"/>
          </w:tcPr>
          <w:p w14:paraId="52172339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70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±</w:t>
            </w: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3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 xml:space="preserve"> dB</w:t>
            </w:r>
          </w:p>
        </w:tc>
      </w:tr>
      <w:tr w14:paraId="3710504F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881" w:type="pct"/>
            <w:vMerge w:val="continue"/>
            <w:shd w:val="clear" w:color="auto" w:fill="D0E6F6"/>
            <w:noWrap/>
          </w:tcPr>
          <w:p w14:paraId="48BFED7E">
            <w:pPr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</w:p>
        </w:tc>
        <w:tc>
          <w:tcPr>
            <w:tcW w:w="1179" w:type="pct"/>
            <w:shd w:val="clear" w:color="auto" w:fill="D0E6F6"/>
          </w:tcPr>
          <w:p w14:paraId="0606CAE0">
            <w:pP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Downlink</w:t>
            </w:r>
          </w:p>
        </w:tc>
        <w:tc>
          <w:tcPr>
            <w:tcW w:w="980" w:type="pct"/>
            <w:shd w:val="clear" w:color="auto" w:fill="D0E6F6"/>
            <w:noWrap/>
          </w:tcPr>
          <w:p w14:paraId="29DE5218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75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±</w:t>
            </w: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3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 xml:space="preserve"> dB</w:t>
            </w:r>
          </w:p>
        </w:tc>
        <w:tc>
          <w:tcPr>
            <w:tcW w:w="980" w:type="pct"/>
            <w:shd w:val="clear" w:color="auto" w:fill="D0E6F6"/>
          </w:tcPr>
          <w:p w14:paraId="4DA1AD85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75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±</w:t>
            </w: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3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 xml:space="preserve"> dB</w:t>
            </w:r>
          </w:p>
        </w:tc>
        <w:tc>
          <w:tcPr>
            <w:tcW w:w="980" w:type="pct"/>
            <w:shd w:val="clear" w:color="auto" w:fill="D0E6F6"/>
          </w:tcPr>
          <w:p w14:paraId="4E8A9F5B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75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±</w:t>
            </w: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3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 xml:space="preserve"> dB</w:t>
            </w:r>
          </w:p>
        </w:tc>
      </w:tr>
      <w:tr w14:paraId="6044C77F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2060" w:type="pct"/>
            <w:gridSpan w:val="2"/>
            <w:noWrap/>
            <w:vAlign w:val="center"/>
          </w:tcPr>
          <w:p w14:paraId="07E5AFE8">
            <w:pPr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Automatic Gain / Level Control (ALC)</w:t>
            </w:r>
          </w:p>
        </w:tc>
        <w:tc>
          <w:tcPr>
            <w:tcW w:w="2940" w:type="pct"/>
            <w:gridSpan w:val="3"/>
            <w:noWrap/>
          </w:tcPr>
          <w:p w14:paraId="119A1C85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≥ 42dB</w:t>
            </w:r>
          </w:p>
        </w:tc>
      </w:tr>
      <w:tr w14:paraId="45680418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2060" w:type="pct"/>
            <w:gridSpan w:val="2"/>
            <w:shd w:val="clear" w:color="auto" w:fill="D0E6F6"/>
            <w:noWrap/>
          </w:tcPr>
          <w:p w14:paraId="6166536E">
            <w:pPr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Gain Flatness (per sub-band)</w:t>
            </w:r>
          </w:p>
        </w:tc>
        <w:tc>
          <w:tcPr>
            <w:tcW w:w="2940" w:type="pct"/>
            <w:gridSpan w:val="3"/>
            <w:shd w:val="clear" w:color="auto" w:fill="D0E6F6"/>
            <w:noWrap/>
          </w:tcPr>
          <w:p w14:paraId="2D9B99CC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≤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 xml:space="preserve"> ±</w:t>
            </w: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3.5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 xml:space="preserve"> dB (peak-to-peak)</w:t>
            </w:r>
          </w:p>
        </w:tc>
      </w:tr>
      <w:tr w14:paraId="28C140DD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2060" w:type="pct"/>
            <w:gridSpan w:val="2"/>
            <w:noWrap/>
          </w:tcPr>
          <w:p w14:paraId="4271F685">
            <w:pPr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Max. Input Power Without Damage</w:t>
            </w:r>
          </w:p>
        </w:tc>
        <w:tc>
          <w:tcPr>
            <w:tcW w:w="2940" w:type="pct"/>
            <w:gridSpan w:val="3"/>
            <w:noWrap/>
          </w:tcPr>
          <w:p w14:paraId="290B1214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0 dBm</w:t>
            </w:r>
          </w:p>
        </w:tc>
      </w:tr>
      <w:tr w14:paraId="15F918C3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881" w:type="pct"/>
            <w:vMerge w:val="restart"/>
            <w:shd w:val="clear" w:color="auto" w:fill="D0E6F6"/>
          </w:tcPr>
          <w:p w14:paraId="18E22F96">
            <w:pPr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Output Power</w:t>
            </w:r>
          </w:p>
        </w:tc>
        <w:tc>
          <w:tcPr>
            <w:tcW w:w="1179" w:type="pct"/>
            <w:shd w:val="clear" w:color="auto" w:fill="D0E6F6"/>
          </w:tcPr>
          <w:p w14:paraId="3848440A">
            <w:pP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Uplink</w:t>
            </w:r>
          </w:p>
        </w:tc>
        <w:tc>
          <w:tcPr>
            <w:tcW w:w="980" w:type="pct"/>
            <w:shd w:val="clear" w:color="auto" w:fill="D0E6F6"/>
            <w:noWrap/>
          </w:tcPr>
          <w:p w14:paraId="2C49ABF6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2</w:t>
            </w: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0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±2 dBm</w:t>
            </w:r>
          </w:p>
        </w:tc>
        <w:tc>
          <w:tcPr>
            <w:tcW w:w="980" w:type="pct"/>
            <w:shd w:val="clear" w:color="auto" w:fill="D0E6F6"/>
          </w:tcPr>
          <w:p w14:paraId="47671677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2</w:t>
            </w: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0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±2 dBm</w:t>
            </w:r>
          </w:p>
        </w:tc>
        <w:tc>
          <w:tcPr>
            <w:tcW w:w="980" w:type="pct"/>
            <w:shd w:val="clear" w:color="auto" w:fill="D0E6F6"/>
          </w:tcPr>
          <w:p w14:paraId="58D59D1C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2</w:t>
            </w: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0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±2 dBm</w:t>
            </w:r>
          </w:p>
        </w:tc>
      </w:tr>
      <w:tr w14:paraId="4F65AE2E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881" w:type="pct"/>
            <w:vMerge w:val="continue"/>
          </w:tcPr>
          <w:p w14:paraId="10379F4C">
            <w:pPr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</w:p>
        </w:tc>
        <w:tc>
          <w:tcPr>
            <w:tcW w:w="1179" w:type="pct"/>
          </w:tcPr>
          <w:p w14:paraId="40E6F1C3">
            <w:pP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Downlink</w:t>
            </w:r>
          </w:p>
        </w:tc>
        <w:tc>
          <w:tcPr>
            <w:tcW w:w="980" w:type="pct"/>
            <w:noWrap/>
          </w:tcPr>
          <w:p w14:paraId="3DBDC1C5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2</w:t>
            </w: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0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±2 dBm</w:t>
            </w:r>
          </w:p>
        </w:tc>
        <w:tc>
          <w:tcPr>
            <w:tcW w:w="980" w:type="pct"/>
          </w:tcPr>
          <w:p w14:paraId="76D5A6CB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2</w:t>
            </w: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0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±2 dBm</w:t>
            </w:r>
          </w:p>
        </w:tc>
        <w:tc>
          <w:tcPr>
            <w:tcW w:w="980" w:type="pct"/>
          </w:tcPr>
          <w:p w14:paraId="7D6CBB98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2</w:t>
            </w: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0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±2 dBm</w:t>
            </w:r>
          </w:p>
        </w:tc>
      </w:tr>
      <w:tr w14:paraId="482E1F4C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2060" w:type="pct"/>
            <w:gridSpan w:val="2"/>
            <w:shd w:val="clear" w:color="auto" w:fill="D0E6F6"/>
          </w:tcPr>
          <w:p w14:paraId="0AD7ED36">
            <w:pPr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Out of Band Gain</w:t>
            </w: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ab/>
            </w:r>
          </w:p>
        </w:tc>
        <w:tc>
          <w:tcPr>
            <w:tcW w:w="2940" w:type="pct"/>
            <w:gridSpan w:val="3"/>
            <w:shd w:val="clear" w:color="auto" w:fill="D0E6F6"/>
            <w:noWrap/>
            <w:vAlign w:val="center"/>
          </w:tcPr>
          <w:p w14:paraId="18B3E392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3GPP compliant</w:t>
            </w:r>
          </w:p>
        </w:tc>
      </w:tr>
      <w:tr w14:paraId="4C914AB5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2060" w:type="pct"/>
            <w:gridSpan w:val="2"/>
          </w:tcPr>
          <w:p w14:paraId="2C73767C">
            <w:pPr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 xml:space="preserve">Spurious Emission </w:t>
            </w:r>
          </w:p>
        </w:tc>
        <w:tc>
          <w:tcPr>
            <w:tcW w:w="2940" w:type="pct"/>
            <w:gridSpan w:val="3"/>
            <w:noWrap/>
            <w:vAlign w:val="center"/>
          </w:tcPr>
          <w:p w14:paraId="64953EA6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3GPP compliant</w:t>
            </w:r>
          </w:p>
        </w:tc>
      </w:tr>
      <w:tr w14:paraId="3AA79110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2060" w:type="pct"/>
            <w:gridSpan w:val="2"/>
            <w:shd w:val="clear" w:color="auto" w:fill="D0E6F6"/>
          </w:tcPr>
          <w:p w14:paraId="7CEBEAE0">
            <w:pPr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AC</w:t>
            </w:r>
            <w:r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L</w:t>
            </w: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R</w:t>
            </w:r>
          </w:p>
        </w:tc>
        <w:tc>
          <w:tcPr>
            <w:tcW w:w="2940" w:type="pct"/>
            <w:gridSpan w:val="3"/>
            <w:shd w:val="clear" w:color="auto" w:fill="D0E6F6"/>
            <w:noWrap/>
            <w:vAlign w:val="center"/>
          </w:tcPr>
          <w:p w14:paraId="019E8D83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3GPP compliant</w:t>
            </w:r>
          </w:p>
        </w:tc>
      </w:tr>
      <w:tr w14:paraId="4C179E41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2060" w:type="pct"/>
            <w:gridSpan w:val="2"/>
          </w:tcPr>
          <w:p w14:paraId="4974EEAD">
            <w:pPr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EVM</w:t>
            </w:r>
          </w:p>
        </w:tc>
        <w:tc>
          <w:tcPr>
            <w:tcW w:w="980" w:type="pct"/>
            <w:noWrap/>
          </w:tcPr>
          <w:p w14:paraId="6FAB52DF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≤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 xml:space="preserve"> </w:t>
            </w: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8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%</w:t>
            </w:r>
          </w:p>
        </w:tc>
        <w:tc>
          <w:tcPr>
            <w:tcW w:w="980" w:type="pct"/>
          </w:tcPr>
          <w:p w14:paraId="1A971C6A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≤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 xml:space="preserve"> </w:t>
            </w: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8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%</w:t>
            </w:r>
          </w:p>
        </w:tc>
        <w:tc>
          <w:tcPr>
            <w:tcW w:w="980" w:type="pct"/>
          </w:tcPr>
          <w:p w14:paraId="25F53C50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≤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 xml:space="preserve"> </w:t>
            </w: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3.5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%</w:t>
            </w:r>
          </w:p>
        </w:tc>
      </w:tr>
      <w:tr w14:paraId="15D1758B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2060" w:type="pct"/>
            <w:gridSpan w:val="2"/>
            <w:shd w:val="clear" w:color="auto" w:fill="D0E6F6"/>
          </w:tcPr>
          <w:p w14:paraId="411F119C">
            <w:pPr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Frequency Stability</w:t>
            </w:r>
          </w:p>
        </w:tc>
        <w:tc>
          <w:tcPr>
            <w:tcW w:w="2940" w:type="pct"/>
            <w:gridSpan w:val="3"/>
            <w:shd w:val="clear" w:color="auto" w:fill="D0E6F6"/>
            <w:noWrap/>
          </w:tcPr>
          <w:p w14:paraId="5FF35A06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≤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 xml:space="preserve"> ±0.01 ppm</w:t>
            </w:r>
          </w:p>
        </w:tc>
      </w:tr>
      <w:tr w14:paraId="357A173B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2060" w:type="pct"/>
            <w:gridSpan w:val="2"/>
            <w:noWrap/>
          </w:tcPr>
          <w:p w14:paraId="1F97156A">
            <w:pPr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Noise Figure</w:t>
            </w:r>
          </w:p>
        </w:tc>
        <w:tc>
          <w:tcPr>
            <w:tcW w:w="2940" w:type="pct"/>
            <w:gridSpan w:val="3"/>
            <w:noWrap/>
            <w:vAlign w:val="center"/>
          </w:tcPr>
          <w:p w14:paraId="021D34AA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≤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 xml:space="preserve"> </w:t>
            </w: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8</w:t>
            </w:r>
          </w:p>
        </w:tc>
      </w:tr>
      <w:tr w14:paraId="4EC5FA4A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2060" w:type="pct"/>
            <w:gridSpan w:val="2"/>
            <w:shd w:val="clear" w:color="auto" w:fill="D0E6F6"/>
            <w:noWrap/>
          </w:tcPr>
          <w:p w14:paraId="27D9F220">
            <w:pPr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VSWR</w:t>
            </w:r>
          </w:p>
        </w:tc>
        <w:tc>
          <w:tcPr>
            <w:tcW w:w="2940" w:type="pct"/>
            <w:gridSpan w:val="3"/>
            <w:shd w:val="clear" w:color="auto" w:fill="D0E6F6"/>
            <w:noWrap/>
          </w:tcPr>
          <w:p w14:paraId="6F2A8F3D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≤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 xml:space="preserve"> </w:t>
            </w: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2</w:t>
            </w:r>
          </w:p>
        </w:tc>
      </w:tr>
      <w:tr w14:paraId="2E9033A3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2060" w:type="pct"/>
            <w:gridSpan w:val="2"/>
            <w:noWrap/>
          </w:tcPr>
          <w:p w14:paraId="1C1FCEB6">
            <w:pPr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S</w:t>
            </w: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ystem Delay</w:t>
            </w:r>
          </w:p>
        </w:tc>
        <w:tc>
          <w:tcPr>
            <w:tcW w:w="2940" w:type="pct"/>
            <w:gridSpan w:val="3"/>
            <w:noWrap/>
          </w:tcPr>
          <w:p w14:paraId="0B49F031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EE0000"/>
                <w:sz w:val="16"/>
                <w:szCs w:val="16"/>
              </w:rPr>
              <w:t>≤</w:t>
            </w:r>
            <w:r>
              <w:rPr>
                <w:rFonts w:ascii="思源黑体 CN Normal" w:hAnsi="思源黑体 CN Normal" w:eastAsia="思源黑体 CN Normal" w:cs="Times New Roman"/>
                <w:color w:val="EE0000"/>
                <w:sz w:val="16"/>
                <w:szCs w:val="16"/>
              </w:rPr>
              <w:t xml:space="preserve"> </w:t>
            </w:r>
            <w:r>
              <w:rPr>
                <w:rFonts w:hint="eastAsia" w:ascii="思源黑体 CN Normal" w:hAnsi="思源黑体 CN Normal" w:eastAsia="思源黑体 CN Normal" w:cs="Times New Roman"/>
                <w:color w:val="EE0000"/>
                <w:sz w:val="16"/>
                <w:szCs w:val="16"/>
              </w:rPr>
              <w:t>5</w:t>
            </w:r>
            <w:r>
              <w:rPr>
                <w:rFonts w:ascii="思源黑体 CN Normal" w:hAnsi="思源黑体 CN Normal" w:eastAsia="思源黑体 CN Normal" w:cs="Times New Roman"/>
                <w:color w:val="EE0000"/>
                <w:sz w:val="16"/>
                <w:szCs w:val="16"/>
              </w:rPr>
              <w:t xml:space="preserve"> </w:t>
            </w:r>
            <w:r>
              <w:rPr>
                <w:rFonts w:hint="eastAsia" w:ascii="思源黑体 CN Normal" w:hAnsi="思源黑体 CN Normal" w:eastAsia="思源黑体 CN Normal" w:cs="Times New Roman"/>
                <w:color w:val="EE0000"/>
                <w:sz w:val="16"/>
                <w:szCs w:val="16"/>
              </w:rPr>
              <w:t>µ</w:t>
            </w:r>
            <w:r>
              <w:rPr>
                <w:rFonts w:ascii="思源黑体 CN Normal" w:hAnsi="思源黑体 CN Normal" w:eastAsia="思源黑体 CN Normal" w:cs="Times New Roman"/>
                <w:color w:val="EE0000"/>
                <w:sz w:val="16"/>
                <w:szCs w:val="16"/>
              </w:rPr>
              <w:t>s</w:t>
            </w:r>
          </w:p>
        </w:tc>
      </w:tr>
      <w:tr w14:paraId="4C6AE761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2060" w:type="pct"/>
            <w:gridSpan w:val="2"/>
            <w:shd w:val="clear" w:color="auto" w:fill="D0E6F6"/>
          </w:tcPr>
          <w:p w14:paraId="6D19B1A7">
            <w:pPr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RF Connector</w:t>
            </w:r>
          </w:p>
        </w:tc>
        <w:tc>
          <w:tcPr>
            <w:tcW w:w="2940" w:type="pct"/>
            <w:gridSpan w:val="3"/>
            <w:shd w:val="clear" w:color="auto" w:fill="D0E6F6"/>
            <w:noWrap/>
          </w:tcPr>
          <w:p w14:paraId="0DC151C7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N-Female</w:t>
            </w:r>
          </w:p>
        </w:tc>
      </w:tr>
      <w:tr w14:paraId="40FD42A1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2060" w:type="pct"/>
            <w:gridSpan w:val="2"/>
          </w:tcPr>
          <w:p w14:paraId="3C3B54E5">
            <w:pPr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Impedance</w:t>
            </w:r>
          </w:p>
        </w:tc>
        <w:tc>
          <w:tcPr>
            <w:tcW w:w="2940" w:type="pct"/>
            <w:gridSpan w:val="3"/>
            <w:noWrap/>
          </w:tcPr>
          <w:p w14:paraId="4B34BB2B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50 Ω</w:t>
            </w:r>
          </w:p>
        </w:tc>
      </w:tr>
      <w:tr w14:paraId="0F8BB602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881" w:type="pct"/>
            <w:vMerge w:val="restart"/>
            <w:shd w:val="clear" w:color="auto" w:fill="D0E6F6"/>
          </w:tcPr>
          <w:p w14:paraId="15A59B1D">
            <w:pPr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Power Supply</w:t>
            </w:r>
          </w:p>
        </w:tc>
        <w:tc>
          <w:tcPr>
            <w:tcW w:w="1179" w:type="pct"/>
            <w:shd w:val="clear" w:color="auto" w:fill="D0E6F6"/>
          </w:tcPr>
          <w:p w14:paraId="4EF1E471">
            <w:pP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Input</w:t>
            </w:r>
          </w:p>
        </w:tc>
        <w:tc>
          <w:tcPr>
            <w:tcW w:w="2940" w:type="pct"/>
            <w:gridSpan w:val="3"/>
            <w:shd w:val="clear" w:color="auto" w:fill="D0E6F6"/>
            <w:noWrap/>
          </w:tcPr>
          <w:p w14:paraId="30D5A79B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color w:val="EE0000"/>
                <w:sz w:val="16"/>
                <w:szCs w:val="16"/>
              </w:rPr>
              <w:t xml:space="preserve">AC </w:t>
            </w:r>
            <w:r>
              <w:rPr>
                <w:rFonts w:hint="eastAsia" w:ascii="思源黑体 CN Normal" w:hAnsi="思源黑体 CN Normal" w:eastAsia="思源黑体 CN Normal" w:cs="Times New Roman"/>
                <w:color w:val="EE0000"/>
                <w:sz w:val="16"/>
                <w:szCs w:val="16"/>
              </w:rPr>
              <w:t>9</w:t>
            </w:r>
            <w:r>
              <w:rPr>
                <w:rFonts w:ascii="思源黑体 CN Normal" w:hAnsi="思源黑体 CN Normal" w:eastAsia="思源黑体 CN Normal" w:cs="Times New Roman"/>
                <w:color w:val="EE0000"/>
                <w:sz w:val="16"/>
                <w:szCs w:val="16"/>
              </w:rPr>
              <w:t>0~2</w:t>
            </w:r>
            <w:r>
              <w:rPr>
                <w:rFonts w:hint="eastAsia" w:ascii="思源黑体 CN Normal" w:hAnsi="思源黑体 CN Normal" w:eastAsia="思源黑体 CN Normal" w:cs="Times New Roman"/>
                <w:color w:val="EE0000"/>
                <w:sz w:val="16"/>
                <w:szCs w:val="16"/>
              </w:rPr>
              <w:t>64</w:t>
            </w:r>
            <w:r>
              <w:rPr>
                <w:rFonts w:ascii="思源黑体 CN Normal" w:hAnsi="思源黑体 CN Normal" w:eastAsia="思源黑体 CN Normal" w:cs="Times New Roman"/>
                <w:color w:val="EE0000"/>
                <w:sz w:val="16"/>
                <w:szCs w:val="16"/>
              </w:rPr>
              <w:t xml:space="preserve"> V, 50/ 60 Hz</w:t>
            </w:r>
          </w:p>
        </w:tc>
      </w:tr>
      <w:tr w14:paraId="1FA6482E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881" w:type="pct"/>
            <w:vMerge w:val="continue"/>
          </w:tcPr>
          <w:p w14:paraId="2014E543">
            <w:pPr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</w:p>
        </w:tc>
        <w:tc>
          <w:tcPr>
            <w:tcW w:w="1179" w:type="pct"/>
          </w:tcPr>
          <w:p w14:paraId="5CABF2C9">
            <w:pP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Output</w:t>
            </w:r>
          </w:p>
        </w:tc>
        <w:tc>
          <w:tcPr>
            <w:tcW w:w="2940" w:type="pct"/>
            <w:gridSpan w:val="3"/>
            <w:noWrap/>
          </w:tcPr>
          <w:p w14:paraId="4B8DF2BE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color w:val="EE0000"/>
                <w:sz w:val="16"/>
                <w:szCs w:val="16"/>
              </w:rPr>
              <w:t xml:space="preserve">DC </w:t>
            </w:r>
            <w:r>
              <w:rPr>
                <w:rFonts w:hint="eastAsia" w:ascii="思源黑体 CN Normal" w:hAnsi="思源黑体 CN Normal" w:eastAsia="思源黑体 CN Normal" w:cs="Times New Roman"/>
                <w:color w:val="EE0000"/>
                <w:sz w:val="16"/>
                <w:szCs w:val="16"/>
              </w:rPr>
              <w:t>5</w:t>
            </w:r>
            <w:r>
              <w:rPr>
                <w:rFonts w:ascii="思源黑体 CN Normal" w:hAnsi="思源黑体 CN Normal" w:eastAsia="思源黑体 CN Normal" w:cs="Times New Roman"/>
                <w:color w:val="EE0000"/>
                <w:sz w:val="16"/>
                <w:szCs w:val="16"/>
              </w:rPr>
              <w:t xml:space="preserve"> V/ </w:t>
            </w:r>
            <w:r>
              <w:rPr>
                <w:rFonts w:hint="eastAsia" w:ascii="思源黑体 CN Normal" w:hAnsi="思源黑体 CN Normal" w:eastAsia="思源黑体 CN Normal" w:cs="Times New Roman"/>
                <w:color w:val="EE0000"/>
                <w:sz w:val="16"/>
                <w:szCs w:val="16"/>
              </w:rPr>
              <w:t>7</w:t>
            </w:r>
            <w:r>
              <w:rPr>
                <w:rFonts w:ascii="思源黑体 CN Normal" w:hAnsi="思源黑体 CN Normal" w:eastAsia="思源黑体 CN Normal" w:cs="Times New Roman"/>
                <w:color w:val="EE0000"/>
                <w:sz w:val="16"/>
                <w:szCs w:val="16"/>
              </w:rPr>
              <w:t xml:space="preserve"> A</w:t>
            </w:r>
          </w:p>
        </w:tc>
      </w:tr>
      <w:tr w14:paraId="13316EAF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2060" w:type="pct"/>
            <w:gridSpan w:val="2"/>
            <w:shd w:val="clear" w:color="auto" w:fill="D0E6F6"/>
          </w:tcPr>
          <w:p w14:paraId="7DD23640">
            <w:pPr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Power Consumption</w:t>
            </w:r>
          </w:p>
        </w:tc>
        <w:tc>
          <w:tcPr>
            <w:tcW w:w="2940" w:type="pct"/>
            <w:gridSpan w:val="3"/>
            <w:shd w:val="clear" w:color="auto" w:fill="D0E6F6"/>
            <w:noWrap/>
          </w:tcPr>
          <w:p w14:paraId="0478390E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EE0000"/>
                <w:sz w:val="16"/>
                <w:szCs w:val="16"/>
              </w:rPr>
              <w:t>≤</w:t>
            </w:r>
            <w:r>
              <w:rPr>
                <w:rFonts w:ascii="思源黑体 CN Normal" w:hAnsi="思源黑体 CN Normal" w:eastAsia="思源黑体 CN Normal" w:cs="Times New Roman"/>
                <w:color w:val="EE0000"/>
                <w:sz w:val="16"/>
                <w:szCs w:val="16"/>
              </w:rPr>
              <w:t xml:space="preserve"> </w:t>
            </w:r>
            <w:r>
              <w:rPr>
                <w:rFonts w:hint="eastAsia" w:ascii="思源黑体 CN Normal" w:hAnsi="思源黑体 CN Normal" w:eastAsia="思源黑体 CN Normal" w:cs="Times New Roman"/>
                <w:color w:val="EE0000"/>
                <w:sz w:val="16"/>
                <w:szCs w:val="16"/>
              </w:rPr>
              <w:t>3</w:t>
            </w:r>
            <w:r>
              <w:rPr>
                <w:rFonts w:ascii="思源黑体 CN Normal" w:hAnsi="思源黑体 CN Normal" w:eastAsia="思源黑体 CN Normal" w:cs="Times New Roman"/>
                <w:color w:val="EE0000"/>
                <w:sz w:val="16"/>
                <w:szCs w:val="16"/>
              </w:rPr>
              <w:t>0 W</w:t>
            </w:r>
          </w:p>
        </w:tc>
      </w:tr>
      <w:tr w14:paraId="2DEE5051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2060" w:type="pct"/>
            <w:gridSpan w:val="2"/>
          </w:tcPr>
          <w:p w14:paraId="6A6FE392">
            <w:pPr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Dimensions</w:t>
            </w:r>
          </w:p>
        </w:tc>
        <w:tc>
          <w:tcPr>
            <w:tcW w:w="2940" w:type="pct"/>
            <w:gridSpan w:val="3"/>
            <w:noWrap/>
          </w:tcPr>
          <w:p w14:paraId="617A5A7D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EE0000"/>
                <w:sz w:val="16"/>
                <w:szCs w:val="16"/>
              </w:rPr>
              <w:t>234</w:t>
            </w:r>
            <w:r>
              <w:rPr>
                <w:rFonts w:ascii="思源黑体 CN Normal" w:hAnsi="思源黑体 CN Normal" w:eastAsia="思源黑体 CN Normal" w:cs="Times New Roman"/>
                <w:color w:val="EE0000"/>
                <w:sz w:val="16"/>
                <w:szCs w:val="16"/>
              </w:rPr>
              <w:t>*</w:t>
            </w:r>
            <w:r>
              <w:rPr>
                <w:rFonts w:hint="eastAsia" w:ascii="思源黑体 CN Normal" w:hAnsi="思源黑体 CN Normal" w:eastAsia="思源黑体 CN Normal" w:cs="Times New Roman"/>
                <w:color w:val="EE0000"/>
                <w:sz w:val="16"/>
                <w:szCs w:val="16"/>
              </w:rPr>
              <w:t>240</w:t>
            </w:r>
            <w:r>
              <w:rPr>
                <w:rFonts w:ascii="思源黑体 CN Normal" w:hAnsi="思源黑体 CN Normal" w:eastAsia="思源黑体 CN Normal" w:cs="Times New Roman"/>
                <w:color w:val="EE0000"/>
                <w:sz w:val="16"/>
                <w:szCs w:val="16"/>
              </w:rPr>
              <w:t>*</w:t>
            </w:r>
            <w:r>
              <w:rPr>
                <w:rFonts w:hint="eastAsia" w:ascii="思源黑体 CN Normal" w:hAnsi="思源黑体 CN Normal" w:eastAsia="思源黑体 CN Normal" w:cs="Times New Roman"/>
                <w:color w:val="EE0000"/>
                <w:sz w:val="16"/>
                <w:szCs w:val="16"/>
              </w:rPr>
              <w:t>52</w:t>
            </w:r>
            <w:r>
              <w:rPr>
                <w:rFonts w:ascii="思源黑体 CN Normal" w:hAnsi="思源黑体 CN Normal" w:eastAsia="思源黑体 CN Normal" w:cs="Times New Roman"/>
                <w:color w:val="EE0000"/>
                <w:sz w:val="16"/>
                <w:szCs w:val="16"/>
              </w:rPr>
              <w:t xml:space="preserve"> mm</w:t>
            </w:r>
          </w:p>
        </w:tc>
      </w:tr>
      <w:tr w14:paraId="2C508863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2060" w:type="pct"/>
            <w:gridSpan w:val="2"/>
            <w:shd w:val="clear" w:color="auto" w:fill="D0E6F6"/>
          </w:tcPr>
          <w:p w14:paraId="2A8C0446">
            <w:pPr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Weight</w:t>
            </w:r>
          </w:p>
        </w:tc>
        <w:tc>
          <w:tcPr>
            <w:tcW w:w="2940" w:type="pct"/>
            <w:gridSpan w:val="3"/>
            <w:shd w:val="clear" w:color="auto" w:fill="D0E6F6"/>
            <w:noWrap/>
          </w:tcPr>
          <w:p w14:paraId="588CCAE5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EE0000"/>
                <w:sz w:val="16"/>
                <w:szCs w:val="16"/>
              </w:rPr>
              <w:t>≤</w:t>
            </w:r>
            <w:r>
              <w:rPr>
                <w:rFonts w:ascii="思源黑体 CN Normal" w:hAnsi="思源黑体 CN Normal" w:eastAsia="思源黑体 CN Normal" w:cs="Times New Roman"/>
                <w:color w:val="EE0000"/>
                <w:sz w:val="16"/>
                <w:szCs w:val="16"/>
              </w:rPr>
              <w:t xml:space="preserve"> </w:t>
            </w:r>
            <w:r>
              <w:rPr>
                <w:rFonts w:hint="eastAsia" w:ascii="思源黑体 CN Normal" w:hAnsi="思源黑体 CN Normal" w:eastAsia="思源黑体 CN Normal" w:cs="Times New Roman"/>
                <w:color w:val="EE0000"/>
                <w:sz w:val="16"/>
                <w:szCs w:val="16"/>
              </w:rPr>
              <w:t>3</w:t>
            </w:r>
            <w:r>
              <w:rPr>
                <w:rFonts w:ascii="思源黑体 CN Normal" w:hAnsi="思源黑体 CN Normal" w:eastAsia="思源黑体 CN Normal" w:cs="Times New Roman"/>
                <w:color w:val="EE0000"/>
                <w:sz w:val="16"/>
                <w:szCs w:val="16"/>
              </w:rPr>
              <w:t xml:space="preserve"> kgs</w:t>
            </w:r>
          </w:p>
        </w:tc>
      </w:tr>
      <w:tr w14:paraId="730AD02F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2060" w:type="pct"/>
            <w:gridSpan w:val="2"/>
          </w:tcPr>
          <w:p w14:paraId="288D0599">
            <w:pPr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IP Rating</w:t>
            </w:r>
          </w:p>
        </w:tc>
        <w:tc>
          <w:tcPr>
            <w:tcW w:w="2940" w:type="pct"/>
            <w:gridSpan w:val="3"/>
            <w:noWrap/>
          </w:tcPr>
          <w:p w14:paraId="451C8AEF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color w:val="EE0000"/>
                <w:sz w:val="16"/>
                <w:szCs w:val="16"/>
              </w:rPr>
              <w:t>IP</w:t>
            </w:r>
            <w:r>
              <w:rPr>
                <w:rFonts w:hint="eastAsia" w:ascii="思源黑体 CN Normal" w:hAnsi="思源黑体 CN Normal" w:eastAsia="思源黑体 CN Normal" w:cs="Times New Roman"/>
                <w:color w:val="EE0000"/>
                <w:sz w:val="16"/>
                <w:szCs w:val="16"/>
              </w:rPr>
              <w:t>35</w:t>
            </w:r>
          </w:p>
        </w:tc>
      </w:tr>
      <w:tr w14:paraId="486BA452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2060" w:type="pct"/>
            <w:gridSpan w:val="2"/>
            <w:shd w:val="clear" w:color="auto" w:fill="D0E6F6"/>
          </w:tcPr>
          <w:p w14:paraId="00E1815B">
            <w:pPr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Operating Temperature</w:t>
            </w:r>
          </w:p>
        </w:tc>
        <w:tc>
          <w:tcPr>
            <w:tcW w:w="2940" w:type="pct"/>
            <w:gridSpan w:val="3"/>
            <w:shd w:val="clear" w:color="auto" w:fill="D0E6F6"/>
            <w:noWrap/>
          </w:tcPr>
          <w:p w14:paraId="662C3149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-10 °C to 50 °C</w:t>
            </w:r>
          </w:p>
        </w:tc>
      </w:tr>
      <w:tr w14:paraId="36DE5EAB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881" w:type="pct"/>
            <w:vMerge w:val="restart"/>
          </w:tcPr>
          <w:p w14:paraId="32651971">
            <w:pPr>
              <w:jc w:val="left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NMS</w:t>
            </w:r>
          </w:p>
        </w:tc>
        <w:tc>
          <w:tcPr>
            <w:tcW w:w="1179" w:type="pct"/>
          </w:tcPr>
          <w:p w14:paraId="61FEAB68">
            <w:pPr>
              <w:jc w:val="left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Local</w:t>
            </w:r>
          </w:p>
        </w:tc>
        <w:tc>
          <w:tcPr>
            <w:tcW w:w="2940" w:type="pct"/>
            <w:gridSpan w:val="3"/>
            <w:noWrap/>
          </w:tcPr>
          <w:p w14:paraId="02028CC0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Via RJ45</w:t>
            </w:r>
          </w:p>
        </w:tc>
      </w:tr>
      <w:tr w14:paraId="08A2D03B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881" w:type="pct"/>
            <w:vMerge w:val="continue"/>
            <w:shd w:val="clear" w:color="auto" w:fill="D0E6F6"/>
          </w:tcPr>
          <w:p w14:paraId="2DEAE0DD">
            <w:pPr>
              <w:jc w:val="left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</w:p>
        </w:tc>
        <w:tc>
          <w:tcPr>
            <w:tcW w:w="1179" w:type="pct"/>
            <w:shd w:val="clear" w:color="auto" w:fill="D0E6F6"/>
          </w:tcPr>
          <w:p w14:paraId="221C1692">
            <w:pPr>
              <w:jc w:val="left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Remote</w:t>
            </w:r>
          </w:p>
        </w:tc>
        <w:tc>
          <w:tcPr>
            <w:tcW w:w="2940" w:type="pct"/>
            <w:gridSpan w:val="3"/>
            <w:shd w:val="clear" w:color="auto" w:fill="D0E6F6"/>
            <w:noWrap/>
          </w:tcPr>
          <w:p w14:paraId="2A9A9DC1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Via Cloud-based NMS (optional)</w:t>
            </w:r>
          </w:p>
        </w:tc>
      </w:tr>
    </w:tbl>
    <w:p w14:paraId="2CB02B0D">
      <w:pPr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</w:pPr>
    </w:p>
    <w:sectPr>
      <w:headerReference r:id="rId3" w:type="default"/>
      <w:footerReference r:id="rId4" w:type="default"/>
      <w:pgSz w:w="11906" w:h="16838"/>
      <w:pgMar w:top="873" w:right="1134" w:bottom="873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思源黑体 CN Normal">
    <w:altName w:val="微软雅黑"/>
    <w:panose1 w:val="00000000000000000000"/>
    <w:charset w:val="86"/>
    <w:family w:val="swiss"/>
    <w:pitch w:val="default"/>
    <w:sig w:usb0="00000000" w:usb1="00000000" w:usb2="00000016" w:usb3="00000000" w:csb0="00060107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w Cen MT">
    <w:altName w:val="Segoe Print"/>
    <w:panose1 w:val="020B0602020104020603"/>
    <w:charset w:val="00"/>
    <w:family w:val="swiss"/>
    <w:pitch w:val="default"/>
    <w:sig w:usb0="00000000" w:usb1="00000000" w:usb2="00000000" w:usb3="00000000" w:csb0="00000003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120B49B">
    <w:pPr>
      <w:rPr>
        <w:rFonts w:hint="eastAsia" w:ascii="思源黑体 CN Normal" w:hAnsi="思源黑体 CN Normal" w:eastAsia="思源黑体 CN Normal" w:cs="Times New Roman"/>
        <w:color w:val="262626"/>
        <w:sz w:val="16"/>
        <w:szCs w:val="16"/>
      </w:rPr>
    </w:pPr>
    <w:r>
      <w:rPr>
        <w:rFonts w:ascii="思源黑体 CN Normal" w:hAnsi="思源黑体 CN Normal" w:eastAsia="思源黑体 CN Normal" w:cs="Times New Roman"/>
        <w:color w:val="262626"/>
        <w:sz w:val="16"/>
        <w:szCs w:val="16"/>
      </w:rPr>
      <w:t>Technical spec</w:t>
    </w:r>
    <w:r>
      <w:rPr>
        <w:rFonts w:hint="eastAsia" w:ascii="思源黑体 CN Normal" w:hAnsi="思源黑体 CN Normal" w:eastAsia="思源黑体 CN Normal" w:cs="Times New Roman"/>
        <w:color w:val="262626"/>
        <w:sz w:val="16"/>
        <w:szCs w:val="16"/>
      </w:rPr>
      <w:t>ifi</w:t>
    </w:r>
    <w:r>
      <w:rPr>
        <w:rFonts w:ascii="思源黑体 CN Normal" w:hAnsi="思源黑体 CN Normal" w:eastAsia="思源黑体 CN Normal" w:cs="Times New Roman"/>
        <w:color w:val="262626"/>
        <w:sz w:val="16"/>
        <w:szCs w:val="16"/>
      </w:rPr>
      <w:t>cation</w:t>
    </w:r>
    <w:r>
      <w:rPr>
        <w:rFonts w:hint="eastAsia" w:ascii="思源黑体 CN Normal" w:hAnsi="思源黑体 CN Normal" w:eastAsia="思源黑体 CN Normal" w:cs="Times New Roman"/>
        <w:color w:val="262626"/>
        <w:sz w:val="16"/>
        <w:szCs w:val="16"/>
      </w:rPr>
      <w:t>s are</w:t>
    </w:r>
    <w:r>
      <w:rPr>
        <w:rFonts w:ascii="思源黑体 CN Normal" w:hAnsi="思源黑体 CN Normal" w:eastAsia="思源黑体 CN Normal" w:cs="Times New Roman"/>
        <w:color w:val="262626"/>
        <w:sz w:val="16"/>
        <w:szCs w:val="16"/>
      </w:rPr>
      <w:t xml:space="preserve"> subject to change without prior notice.</w:t>
    </w:r>
  </w:p>
  <w:p w14:paraId="656A4A83">
    <w:pPr>
      <w:pStyle w:val="2"/>
      <w:rPr>
        <w:rFonts w:hint="default" w:eastAsiaTheme="minorEastAsia"/>
        <w:color w:val="0000FF"/>
        <w:highlight w:val="yellow"/>
        <w:lang w:val="en-US" w:eastAsia="zh-CN"/>
      </w:rPr>
    </w:pPr>
    <w:r>
      <w:rPr>
        <w:rFonts w:hint="eastAsia"/>
        <w:color w:val="0000FF"/>
        <w:highlight w:val="yellow"/>
        <w:lang w:val="en-US" w:eastAsia="zh-CN"/>
      </w:rPr>
      <w:t>www.atnjtech.com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4BE0681">
    <w:pPr>
      <w:pStyle w:val="3"/>
      <w:pBdr>
        <w:bottom w:val="none" w:color="auto" w:sz="0" w:space="0"/>
      </w:pBdr>
      <w:jc w:val="both"/>
      <w:rPr>
        <w:rFonts w:hint="default" w:eastAsiaTheme="minorEastAsia"/>
        <w:color w:val="0000FF"/>
        <w:highlight w:val="yellow"/>
        <w:lang w:val="en-US" w:eastAsia="zh-CN"/>
      </w:rPr>
    </w:pPr>
    <w:r>
      <w:rPr>
        <w:rFonts w:hint="eastAsia"/>
        <w:color w:val="0000FF"/>
        <w:highlight w:val="yellow"/>
        <w:lang w:val="en-US" w:eastAsia="zh-CN"/>
      </w:rPr>
      <w:t>www.atnjtech.com</w:t>
    </w:r>
    <w:bookmarkStart w:id="0" w:name="_GoBack"/>
    <w:bookmarkEnd w:id="0"/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DF16F3D"/>
    <w:multiLevelType w:val="multilevel"/>
    <w:tmpl w:val="4DF16F3D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18DE"/>
    <w:rsid w:val="000218DE"/>
    <w:rsid w:val="00037DFF"/>
    <w:rsid w:val="0006103B"/>
    <w:rsid w:val="00066811"/>
    <w:rsid w:val="00097E4C"/>
    <w:rsid w:val="000B7616"/>
    <w:rsid w:val="000C0992"/>
    <w:rsid w:val="000C6D09"/>
    <w:rsid w:val="000C70A7"/>
    <w:rsid w:val="00111562"/>
    <w:rsid w:val="001127E3"/>
    <w:rsid w:val="0012648A"/>
    <w:rsid w:val="00126706"/>
    <w:rsid w:val="0012704B"/>
    <w:rsid w:val="001540B0"/>
    <w:rsid w:val="0015509F"/>
    <w:rsid w:val="0016048C"/>
    <w:rsid w:val="0016369C"/>
    <w:rsid w:val="001703D8"/>
    <w:rsid w:val="00190C1C"/>
    <w:rsid w:val="001924B0"/>
    <w:rsid w:val="001A21F2"/>
    <w:rsid w:val="001A7761"/>
    <w:rsid w:val="001D650B"/>
    <w:rsid w:val="001E1838"/>
    <w:rsid w:val="001F6680"/>
    <w:rsid w:val="002136AF"/>
    <w:rsid w:val="00233B10"/>
    <w:rsid w:val="00242B4C"/>
    <w:rsid w:val="0024746C"/>
    <w:rsid w:val="00265E92"/>
    <w:rsid w:val="002951C1"/>
    <w:rsid w:val="00295F49"/>
    <w:rsid w:val="002C560C"/>
    <w:rsid w:val="002D4AC3"/>
    <w:rsid w:val="002D5212"/>
    <w:rsid w:val="002E60F9"/>
    <w:rsid w:val="002F24FB"/>
    <w:rsid w:val="002F3E55"/>
    <w:rsid w:val="003137C0"/>
    <w:rsid w:val="00313CCD"/>
    <w:rsid w:val="00322FAC"/>
    <w:rsid w:val="00333471"/>
    <w:rsid w:val="00334196"/>
    <w:rsid w:val="00334B1E"/>
    <w:rsid w:val="00347638"/>
    <w:rsid w:val="003707FF"/>
    <w:rsid w:val="00372A21"/>
    <w:rsid w:val="0038775C"/>
    <w:rsid w:val="00390E8D"/>
    <w:rsid w:val="00393B18"/>
    <w:rsid w:val="003B01E0"/>
    <w:rsid w:val="003C2085"/>
    <w:rsid w:val="003C5971"/>
    <w:rsid w:val="00416208"/>
    <w:rsid w:val="00416679"/>
    <w:rsid w:val="004173C4"/>
    <w:rsid w:val="004309DD"/>
    <w:rsid w:val="00455CB2"/>
    <w:rsid w:val="00481355"/>
    <w:rsid w:val="004A5EFA"/>
    <w:rsid w:val="004B625D"/>
    <w:rsid w:val="004C514B"/>
    <w:rsid w:val="004C6F75"/>
    <w:rsid w:val="004C74AB"/>
    <w:rsid w:val="004E48A8"/>
    <w:rsid w:val="004F5287"/>
    <w:rsid w:val="005267CE"/>
    <w:rsid w:val="00535D2E"/>
    <w:rsid w:val="00541C6F"/>
    <w:rsid w:val="00550757"/>
    <w:rsid w:val="00560BD3"/>
    <w:rsid w:val="005623EF"/>
    <w:rsid w:val="00573500"/>
    <w:rsid w:val="0057600D"/>
    <w:rsid w:val="00582E43"/>
    <w:rsid w:val="005937A1"/>
    <w:rsid w:val="005B77B9"/>
    <w:rsid w:val="005C1B55"/>
    <w:rsid w:val="0061266D"/>
    <w:rsid w:val="00617061"/>
    <w:rsid w:val="0062413F"/>
    <w:rsid w:val="00632025"/>
    <w:rsid w:val="0064571D"/>
    <w:rsid w:val="00647588"/>
    <w:rsid w:val="0065423E"/>
    <w:rsid w:val="00673B3D"/>
    <w:rsid w:val="00677F95"/>
    <w:rsid w:val="00697CB6"/>
    <w:rsid w:val="006A404D"/>
    <w:rsid w:val="006E55E9"/>
    <w:rsid w:val="006F27BF"/>
    <w:rsid w:val="007101E6"/>
    <w:rsid w:val="00715D52"/>
    <w:rsid w:val="00716D7A"/>
    <w:rsid w:val="00751B11"/>
    <w:rsid w:val="00755DAE"/>
    <w:rsid w:val="007576F6"/>
    <w:rsid w:val="0076085B"/>
    <w:rsid w:val="00775474"/>
    <w:rsid w:val="007912CA"/>
    <w:rsid w:val="00792446"/>
    <w:rsid w:val="007928BA"/>
    <w:rsid w:val="007A17BE"/>
    <w:rsid w:val="007A1B2A"/>
    <w:rsid w:val="007A71FD"/>
    <w:rsid w:val="007A779E"/>
    <w:rsid w:val="007B528B"/>
    <w:rsid w:val="007C28CF"/>
    <w:rsid w:val="007C338B"/>
    <w:rsid w:val="007E24C5"/>
    <w:rsid w:val="007F0B75"/>
    <w:rsid w:val="007F4F7C"/>
    <w:rsid w:val="00803FD7"/>
    <w:rsid w:val="00811BD7"/>
    <w:rsid w:val="008221B7"/>
    <w:rsid w:val="0086533C"/>
    <w:rsid w:val="00876FCE"/>
    <w:rsid w:val="0088031C"/>
    <w:rsid w:val="0088251B"/>
    <w:rsid w:val="008A08D7"/>
    <w:rsid w:val="008A09D0"/>
    <w:rsid w:val="008A4FC8"/>
    <w:rsid w:val="008B25F6"/>
    <w:rsid w:val="008B5613"/>
    <w:rsid w:val="008C3DE4"/>
    <w:rsid w:val="008C6AD6"/>
    <w:rsid w:val="008F403F"/>
    <w:rsid w:val="00911C9E"/>
    <w:rsid w:val="009268F1"/>
    <w:rsid w:val="00947747"/>
    <w:rsid w:val="0096062B"/>
    <w:rsid w:val="0096569E"/>
    <w:rsid w:val="00972C19"/>
    <w:rsid w:val="00973667"/>
    <w:rsid w:val="009761F3"/>
    <w:rsid w:val="009B0B59"/>
    <w:rsid w:val="009D4ED6"/>
    <w:rsid w:val="00A04393"/>
    <w:rsid w:val="00A11FF9"/>
    <w:rsid w:val="00A16602"/>
    <w:rsid w:val="00A25BE9"/>
    <w:rsid w:val="00A67822"/>
    <w:rsid w:val="00A8749F"/>
    <w:rsid w:val="00A8764F"/>
    <w:rsid w:val="00A94F25"/>
    <w:rsid w:val="00AA65E0"/>
    <w:rsid w:val="00AB62B7"/>
    <w:rsid w:val="00AB6E9A"/>
    <w:rsid w:val="00AD2C3F"/>
    <w:rsid w:val="00AE7450"/>
    <w:rsid w:val="00B10161"/>
    <w:rsid w:val="00B1323B"/>
    <w:rsid w:val="00B27521"/>
    <w:rsid w:val="00B311E0"/>
    <w:rsid w:val="00B326B3"/>
    <w:rsid w:val="00B3381F"/>
    <w:rsid w:val="00B34DEA"/>
    <w:rsid w:val="00B448FE"/>
    <w:rsid w:val="00B44EA1"/>
    <w:rsid w:val="00B460B6"/>
    <w:rsid w:val="00B547CC"/>
    <w:rsid w:val="00B603A5"/>
    <w:rsid w:val="00B67688"/>
    <w:rsid w:val="00B74C79"/>
    <w:rsid w:val="00B815BB"/>
    <w:rsid w:val="00B83139"/>
    <w:rsid w:val="00B91A4C"/>
    <w:rsid w:val="00B97AC3"/>
    <w:rsid w:val="00BA6022"/>
    <w:rsid w:val="00BB3A26"/>
    <w:rsid w:val="00BB6F13"/>
    <w:rsid w:val="00BC299F"/>
    <w:rsid w:val="00BC67B6"/>
    <w:rsid w:val="00BD05E7"/>
    <w:rsid w:val="00BE3135"/>
    <w:rsid w:val="00BE47C3"/>
    <w:rsid w:val="00C01672"/>
    <w:rsid w:val="00C04B12"/>
    <w:rsid w:val="00C117C9"/>
    <w:rsid w:val="00C32E05"/>
    <w:rsid w:val="00C4455C"/>
    <w:rsid w:val="00C65CED"/>
    <w:rsid w:val="00C84431"/>
    <w:rsid w:val="00CA37E8"/>
    <w:rsid w:val="00CC28F1"/>
    <w:rsid w:val="00CE2153"/>
    <w:rsid w:val="00D16B5D"/>
    <w:rsid w:val="00D20766"/>
    <w:rsid w:val="00D2773B"/>
    <w:rsid w:val="00D36E90"/>
    <w:rsid w:val="00D4679F"/>
    <w:rsid w:val="00D606F9"/>
    <w:rsid w:val="00D72112"/>
    <w:rsid w:val="00D7238D"/>
    <w:rsid w:val="00D73D0E"/>
    <w:rsid w:val="00D73E4B"/>
    <w:rsid w:val="00D74F37"/>
    <w:rsid w:val="00D80845"/>
    <w:rsid w:val="00D96300"/>
    <w:rsid w:val="00DD4B8C"/>
    <w:rsid w:val="00DD4E97"/>
    <w:rsid w:val="00DD53DA"/>
    <w:rsid w:val="00DE4365"/>
    <w:rsid w:val="00E044F4"/>
    <w:rsid w:val="00E2546D"/>
    <w:rsid w:val="00E6355C"/>
    <w:rsid w:val="00E73921"/>
    <w:rsid w:val="00E864A0"/>
    <w:rsid w:val="00E936EA"/>
    <w:rsid w:val="00EA1CEE"/>
    <w:rsid w:val="00EA4D79"/>
    <w:rsid w:val="00EC45DA"/>
    <w:rsid w:val="00ED5BDE"/>
    <w:rsid w:val="00EE495A"/>
    <w:rsid w:val="00EF31B9"/>
    <w:rsid w:val="00EF5079"/>
    <w:rsid w:val="00F141AD"/>
    <w:rsid w:val="00F26D00"/>
    <w:rsid w:val="00F31595"/>
    <w:rsid w:val="00F50CCF"/>
    <w:rsid w:val="00F5730F"/>
    <w:rsid w:val="00F64F06"/>
    <w:rsid w:val="00F713AB"/>
    <w:rsid w:val="00FA1A4B"/>
    <w:rsid w:val="00FC1992"/>
    <w:rsid w:val="00FC6545"/>
    <w:rsid w:val="00FC7735"/>
    <w:rsid w:val="00FD2D13"/>
    <w:rsid w:val="00FF3336"/>
    <w:rsid w:val="24256787"/>
    <w:rsid w:val="66AD0E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sz w:val="18"/>
      <w:szCs w:val="18"/>
    </w:rPr>
  </w:style>
  <w:style w:type="table" w:customStyle="1" w:styleId="8">
    <w:name w:val="清单表 4 - 着色 21"/>
    <w:basedOn w:val="4"/>
    <w:qFormat/>
    <w:uiPriority w:val="49"/>
    <w:tblPr>
      <w:tblBorders>
        <w:top w:val="single" w:color="74B5E4" w:sz="4" w:space="0"/>
        <w:left w:val="single" w:color="74B5E4" w:sz="4" w:space="0"/>
        <w:bottom w:val="single" w:color="74B5E4" w:sz="4" w:space="0"/>
        <w:right w:val="single" w:color="74B5E4" w:sz="4" w:space="0"/>
      </w:tblBorders>
    </w:tblPr>
    <w:tblStylePr w:type="firstRow">
      <w:rPr>
        <w:b/>
        <w:bCs/>
        <w:color w:val="FFFFFF"/>
      </w:rPr>
      <w:tcPr>
        <w:tcBorders>
          <w:top w:val="single" w:color="2683C6" w:sz="4" w:space="0"/>
          <w:left w:val="single" w:color="2683C6" w:sz="4" w:space="0"/>
          <w:bottom w:val="single" w:color="2683C6" w:sz="4" w:space="0"/>
          <w:right w:val="single" w:color="2683C6" w:sz="4" w:space="0"/>
          <w:insideH w:val="nil"/>
        </w:tcBorders>
        <w:shd w:val="clear" w:color="auto" w:fill="2683C6"/>
      </w:tcPr>
    </w:tblStylePr>
    <w:tblStylePr w:type="lastRow">
      <w:rPr>
        <w:b/>
        <w:bCs/>
      </w:rPr>
      <w:tcPr>
        <w:tcBorders>
          <w:top w:val="double" w:color="74B5E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0E6F6"/>
      </w:tcPr>
    </w:tblStylePr>
    <w:tblStylePr w:type="band1Horz">
      <w:tcPr>
        <w:shd w:val="clear" w:color="auto" w:fill="D0E6F6"/>
      </w:tcPr>
    </w:tblStylePr>
  </w:style>
  <w:style w:type="table" w:customStyle="1" w:styleId="9">
    <w:name w:val="List Table 4 Accent 2"/>
    <w:basedOn w:val="4"/>
    <w:uiPriority w:val="49"/>
    <w:tblPr>
      <w:tblBorders>
        <w:top w:val="single" w:color="F4B083" w:themeColor="accent2" w:themeTint="99" w:sz="4" w:space="0"/>
        <w:left w:val="single" w:color="F4B083" w:themeColor="accent2" w:themeTint="99" w:sz="4" w:space="0"/>
        <w:bottom w:val="single" w:color="F4B083" w:themeColor="accent2" w:themeTint="99" w:sz="4" w:space="0"/>
        <w:right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ED7D31" w:themeColor="accent2" w:sz="4" w:space="0"/>
          <w:left w:val="single" w:color="ED7D31" w:themeColor="accent2" w:sz="4" w:space="0"/>
          <w:bottom w:val="single" w:color="ED7D31" w:themeColor="accent2" w:sz="4" w:space="0"/>
          <w:right w:val="single" w:color="ED7D31" w:themeColor="accent2" w:sz="4" w:space="0"/>
          <w:insideH w:val="nil"/>
        </w:tcBorders>
        <w:shd w:val="clear" w:color="auto" w:fill="ED7D31" w:themeFill="accent2"/>
      </w:tcPr>
    </w:tblStylePr>
    <w:tblStylePr w:type="lastRow">
      <w:rPr>
        <w:b/>
        <w:bCs/>
      </w:rPr>
      <w:tcPr>
        <w:tcBorders>
          <w:top w:val="double" w:color="F4B083" w:themeColor="accent2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0">
    <w:name w:val="清单表 4 - 着色 22"/>
    <w:basedOn w:val="4"/>
    <w:uiPriority w:val="49"/>
    <w:tblPr>
      <w:tblBorders>
        <w:top w:val="single" w:color="74B5E4" w:sz="4" w:space="0"/>
        <w:left w:val="single" w:color="74B5E4" w:sz="4" w:space="0"/>
        <w:bottom w:val="single" w:color="74B5E4" w:sz="4" w:space="0"/>
        <w:right w:val="single" w:color="74B5E4" w:sz="4" w:space="0"/>
        <w:insideH w:val="single" w:color="74B5E4" w:sz="4" w:space="0"/>
      </w:tblBorders>
    </w:tblPr>
    <w:tblStylePr w:type="firstRow">
      <w:rPr>
        <w:b/>
        <w:bCs/>
        <w:color w:val="FFFFFF"/>
      </w:rPr>
      <w:tcPr>
        <w:tcBorders>
          <w:top w:val="single" w:color="2683C6" w:sz="4" w:space="0"/>
          <w:left w:val="single" w:color="2683C6" w:sz="4" w:space="0"/>
          <w:bottom w:val="single" w:color="2683C6" w:sz="4" w:space="0"/>
          <w:right w:val="single" w:color="2683C6" w:sz="4" w:space="0"/>
          <w:insideH w:val="nil"/>
        </w:tcBorders>
        <w:shd w:val="clear" w:color="auto" w:fill="2683C6"/>
      </w:tcPr>
    </w:tblStylePr>
    <w:tblStylePr w:type="lastRow">
      <w:rPr>
        <w:b/>
        <w:bCs/>
      </w:rPr>
      <w:tcPr>
        <w:tcBorders>
          <w:top w:val="double" w:color="74B5E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0E6F6"/>
      </w:tcPr>
    </w:tblStylePr>
    <w:tblStylePr w:type="band1Horz">
      <w:tcPr>
        <w:shd w:val="clear" w:color="auto" w:fill="D0E6F6"/>
      </w:tcPr>
    </w:tblStylePr>
  </w:style>
  <w:style w:type="table" w:customStyle="1" w:styleId="11">
    <w:name w:val="网格表 4 - 着色 21"/>
    <w:basedOn w:val="4"/>
    <w:uiPriority w:val="49"/>
    <w:tblPr>
      <w:tblBorders>
        <w:top w:val="single" w:color="74B5E4" w:sz="4" w:space="0"/>
        <w:left w:val="single" w:color="74B5E4" w:sz="4" w:space="0"/>
        <w:bottom w:val="single" w:color="74B5E4" w:sz="4" w:space="0"/>
        <w:right w:val="single" w:color="74B5E4" w:sz="4" w:space="0"/>
        <w:insideH w:val="single" w:color="74B5E4" w:sz="4" w:space="0"/>
        <w:insideV w:val="single" w:color="74B5E4" w:sz="4" w:space="0"/>
      </w:tblBorders>
    </w:tblPr>
    <w:tblStylePr w:type="firstRow">
      <w:rPr>
        <w:b/>
        <w:bCs/>
        <w:color w:val="FFFFFF"/>
      </w:rPr>
      <w:tcPr>
        <w:tcBorders>
          <w:top w:val="single" w:color="2683C6" w:sz="4" w:space="0"/>
          <w:left w:val="single" w:color="2683C6" w:sz="4" w:space="0"/>
          <w:bottom w:val="single" w:color="2683C6" w:sz="4" w:space="0"/>
          <w:right w:val="single" w:color="2683C6" w:sz="4" w:space="0"/>
          <w:insideH w:val="nil"/>
          <w:insideV w:val="nil"/>
        </w:tcBorders>
        <w:shd w:val="clear" w:color="auto" w:fill="2683C6"/>
      </w:tcPr>
    </w:tblStylePr>
    <w:tblStylePr w:type="lastRow">
      <w:rPr>
        <w:b/>
        <w:bCs/>
      </w:rPr>
      <w:tcPr>
        <w:tcBorders>
          <w:top w:val="double" w:color="2683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0E6F6"/>
      </w:tcPr>
    </w:tblStylePr>
    <w:tblStylePr w:type="band1Horz">
      <w:tcPr>
        <w:shd w:val="clear" w:color="auto" w:fill="D0E6F6"/>
      </w:tcPr>
    </w:tblStylePr>
  </w:style>
  <w:style w:type="table" w:customStyle="1" w:styleId="12">
    <w:name w:val="Grid Table 4 Accent 2"/>
    <w:basedOn w:val="4"/>
    <w:qFormat/>
    <w:uiPriority w:val="49"/>
    <w:tblPr>
      <w:tblBorders>
        <w:top w:val="single" w:color="F4B083" w:themeColor="accent2" w:themeTint="99" w:sz="4" w:space="0"/>
        <w:left w:val="single" w:color="F4B083" w:themeColor="accent2" w:themeTint="99" w:sz="4" w:space="0"/>
        <w:bottom w:val="single" w:color="F4B083" w:themeColor="accent2" w:themeTint="99" w:sz="4" w:space="0"/>
        <w:right w:val="single" w:color="F4B083" w:themeColor="accent2" w:themeTint="99" w:sz="4" w:space="0"/>
        <w:insideH w:val="single" w:color="F4B083" w:themeColor="accent2" w:themeTint="99" w:sz="4" w:space="0"/>
        <w:insideV w:val="single" w:color="F4B083" w:themeColor="accent2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ED7D31" w:themeColor="accent2" w:sz="4" w:space="0"/>
          <w:left w:val="single" w:color="ED7D31" w:themeColor="accent2" w:sz="4" w:space="0"/>
          <w:bottom w:val="single" w:color="ED7D31" w:themeColor="accent2" w:sz="4" w:space="0"/>
          <w:right w:val="single" w:color="ED7D31" w:themeColor="accent2" w:sz="4" w:space="0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cPr>
        <w:tcBorders>
          <w:top w:val="double" w:color="ED7D31" w:themeColor="accent2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character" w:customStyle="1" w:styleId="13">
    <w:name w:val="markedcontent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3.pn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587C2D8-FC4B-41D9-A8FF-7AD55C04943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228</Words>
  <Characters>1239</Characters>
  <Lines>13</Lines>
  <Paragraphs>3</Paragraphs>
  <TotalTime>45</TotalTime>
  <ScaleCrop>false</ScaleCrop>
  <LinksUpToDate>false</LinksUpToDate>
  <CharactersWithSpaces>1387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2026-04-21T10:07:00Z</dcterms:created>
  <dc:creator>Chi Wei</dc:creator>
  <cp:lastModifiedBy>Wave Luo</cp:lastModifiedBy>
  <cp:lastPrinted>2026-04-21T10:13:00Z</cp:lastPrinted>
  <dcterms:modified xsi:type="dcterms:W3CDTF">2026-07-16T05:44:50Z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eyJoZGlkIjoiMGU3MjRiODBjOWEyOGIzZDgxNjIwNDIxOGYzMjRiMjAiLCJ1c2VySWQiOiIyNjMzNDYxMjkifQ==</vt:lpwstr>
  </property>
  <property fmtid="{D5CDD505-2E9C-101B-9397-08002B2CF9AE}" pid="3" name="KSOProductBuildVer">
    <vt:lpwstr>2052-12.1.0.23542</vt:lpwstr>
  </property>
  <property fmtid="{D5CDD505-2E9C-101B-9397-08002B2CF9AE}" pid="4" name="ICV">
    <vt:lpwstr>E60E2406A96148A2878B5EF5A059FB77_13</vt:lpwstr>
  </property>
</Properties>
</file>